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CCC" w:rsidRPr="00DC6CCC" w:rsidRDefault="00DC6CCC" w:rsidP="00DC6CCC">
      <w:pPr>
        <w:shd w:val="clear" w:color="auto" w:fill="FFFFFF"/>
        <w:spacing w:before="120" w:after="120" w:line="240" w:lineRule="auto"/>
        <w:textAlignment w:val="top"/>
        <w:outlineLvl w:val="0"/>
        <w:rPr>
          <w:rFonts w:ascii="Arial" w:eastAsia="Times New Roman" w:hAnsi="Arial" w:cs="Arial"/>
          <w:b/>
          <w:bCs/>
          <w:kern w:val="36"/>
          <w:sz w:val="29"/>
          <w:szCs w:val="29"/>
          <w:lang w:val="en"/>
        </w:rPr>
      </w:pPr>
      <w:r w:rsidRPr="00DC6CCC">
        <w:rPr>
          <w:rFonts w:ascii="Arial" w:eastAsia="Times New Roman" w:hAnsi="Arial" w:cs="Arial"/>
          <w:b/>
          <w:bCs/>
          <w:kern w:val="36"/>
          <w:sz w:val="29"/>
          <w:szCs w:val="29"/>
          <w:lang w:val="en"/>
        </w:rPr>
        <w:t xml:space="preserve">IRF Quality Reporting Measures Information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The purpose of this page is to provide information on the measures reported by IRFs in accordance with the IRF QRP. On this page, you will find descriptions of each measure, links to measure specifications, measure updates and other measure related information. This page is updated as measure updates become available. </w:t>
      </w:r>
    </w:p>
    <w:p w:rsidR="00DC6CCC" w:rsidRPr="00DC6CCC" w:rsidRDefault="00DC6CCC" w:rsidP="00DC6CCC">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DC6CCC">
        <w:rPr>
          <w:rFonts w:ascii="Arial" w:eastAsia="Times New Roman" w:hAnsi="Arial" w:cs="Arial"/>
          <w:b/>
          <w:bCs/>
          <w:sz w:val="23"/>
          <w:szCs w:val="23"/>
          <w:lang w:val="en"/>
        </w:rPr>
        <w:t>What are the Inpatient Rehabilitation Facilities (IRF) quality reporting measures?</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Measures currently adopted and finalized for the IRF QRP are listed below. Data for the IRF QRP measures are collected and submitted through three methods:</w:t>
      </w:r>
    </w:p>
    <w:p w:rsidR="00DC6CCC" w:rsidRPr="00DC6CCC" w:rsidRDefault="00DC6CCC" w:rsidP="00DC6CCC">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C6CCC">
        <w:rPr>
          <w:rFonts w:ascii="Arial" w:eastAsia="Times New Roman" w:hAnsi="Arial" w:cs="Arial"/>
          <w:sz w:val="19"/>
          <w:szCs w:val="19"/>
          <w:lang w:val="en"/>
        </w:rPr>
        <w:t>Inpatient Rehabilitation Facility – Patient Assessment Instrument (IRF-PAI)</w:t>
      </w:r>
    </w:p>
    <w:p w:rsidR="00DC6CCC" w:rsidRPr="00DC6CCC" w:rsidRDefault="00DC6CCC" w:rsidP="00DC6CCC">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C6CCC">
        <w:rPr>
          <w:rFonts w:ascii="Arial" w:eastAsia="Times New Roman" w:hAnsi="Arial" w:cs="Arial"/>
          <w:sz w:val="19"/>
          <w:szCs w:val="19"/>
          <w:lang w:val="en"/>
        </w:rPr>
        <w:t>Centers for Disease Control and Prevention (CDC) National Healthcare Safety Network (NHSN)</w:t>
      </w:r>
    </w:p>
    <w:p w:rsidR="00DC6CCC" w:rsidRPr="00DC6CCC" w:rsidRDefault="00DC6CCC" w:rsidP="00DC6CCC">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C6CCC">
        <w:rPr>
          <w:rFonts w:ascii="Arial" w:eastAsia="Times New Roman" w:hAnsi="Arial" w:cs="Arial"/>
          <w:sz w:val="19"/>
          <w:szCs w:val="19"/>
          <w:lang w:val="en"/>
        </w:rPr>
        <w:t>Medicare Fee-For-Service Claims</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The following measures are submitted using the IRF-PAI unless noted otherwise: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  Percent of Residents or Patients with Pressure Ulcers That Are New or Worsened (Short Stay) (NQF #0678)</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An application of this measure was finalized in the FY 2012 IRF PPS Final Rule which was published in the Federal Register on 08/05/2011 (76 FR 47874). The NQF-endorsed risk adjusted version of the measure was adopted in the FY 2014 IRF PPS Final Rule which was published in the Federal Register on 08/06/2013 (78 FR 47902). Data collection for this measure began on 10/01/2012.   As finalized in the FY 2018 IRF PPS Final Rule which was published in the Federal Register on 08/03/2017 (82 FR 36277), this measure was replaced by a modified version of the measure entitled Changes in Skin Integrity Post-Acute Care: Pressure Ulcer/Injury beginning with the FY2020 IRF QRP.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#2: National Healthcare Safety Network (NHSN) Catheter Associated Urinary Tract Infection (CAUTI) Outcome Measure (NQF #0138)</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Use of a previous version of this measure was finalized in the FY 2012 IRF PPS Final Rule which was published in the Federal Register on 08/05/2011 (76 FR 47874).   The updated version of the CAUTI measure was adopted in the CY 2013 Hospital Outpatient Prospective Payment System Final Rule which was published in the Federal Register on November 15, 2012 (77 FR 68500).  Data collection for this measure began on 10/01/2012. The data for this measure is submitted via CDC/NHSN.</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lastRenderedPageBreak/>
        <w:t>IRF Measure #3: Influenza Vaccination among Healthcare Personnel (NQF #0431)</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2014 IRF Final Rule which was published in the Federal Register on August 6, 2013 (78 FR 47860). Data collection for this measure began on 10/01/2014. The data for this measure is submitted via CDC/NHSN.</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#4:  Percent of Residents or Patients Who Were Assessed and Appropriately Given the Seasonal Influenza Vaccination (NQF #0680).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  This measure was finalized in the FY 2014 IRF Final Rule which was published in the Federal Register on August 6, 2013 (78 FR 47860). Data collection for this measure began on 10/01/2014.This measure was finalized for removal in the FY 2019 IRF PPS Final Rule, which was published in the Federal Register on August 6, 2018 (83 FR 38576). Beginning October 1, 2018, IRFs should enter a dash (–) or any valid code for O0250A, O0250B, and O0250C until IRF-PAI V3.0 goes into effect October 1, 2019.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#5:  All Cause Unplanned 30 day post IRF Discharge Readmission Measure.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2014 IRF Final Rule which was published in the Federal Register on August 6, 2013 (78 FR 47860). This is a claims-based measure and no additional data need to be submitted by the IRF. As finalized in the FY 2018 IRF PPS Final Rule which was published in the Federal Register on 08/03/2017 (82 FR 36283), this measure will be removed beginning with the FY 2019 IRF QRP.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#6:  NHSN Facility-wide Inpatient Hospital-onset Methicillin resistant Staphylococcus aureus (MRSA) Bacteremia Outcome Measure (NQF #1716)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 This measure was finalized in the FY 2015 IRF Final Rule which was published in the Federal Register on August 6, 2014 (79 FR 45872). Data collection for this measure began 01/01/2015. The data for this measure is submitted via CDC/NHSN. This measure was finalized for removal in the FY 2019 IRF PPS Final Rule, which was published in the Federal Register on August 6, 2018 (78 FR 47860). Data collection for this measure ends October 1, 2018.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#7:  NHSN Facility-wide Inpatient Hospital-onset Clostridium difficile Infection (CDI) Outcome Measure (NQF #1717)</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2015 IRF Final Rule which was published in the Federal Register on August 6, 2014 (79 FR 45872). Data collection for this measure began 01/01/2015. The data for this measure is submitted via CDC/NHSN.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lastRenderedPageBreak/>
        <w:t>IRF Measure #8:  Application of Percent of Residents Experiencing One or More Falls with Major Injury (Long Stay) (NQF #0674)</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47100).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#9:  Application of Percent of Long-Term Care Hospital Patients with an Admission and Discharge Functional Assessment and a Care Plan That Addresses Function (NQF #2631)</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47111).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#10:  IRF Functional Outcome Measure: Change in Self-Care for Medical Rehabilitation Patients (NQF #2633)</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47117).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#11:  IRF Functional Outcome Measure: Change in Mobility Score for Medical Rehabilitation Patients (NQF #2634)</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47118).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#12:  IRF Functional Outcome Measure: Discharge Self-Care Score for Medical Rehabilitation Patients (NQF #2635)</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47119).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 </w:t>
      </w:r>
      <w:r w:rsidRPr="00DC6CCC">
        <w:rPr>
          <w:rFonts w:ascii="Arial" w:eastAsia="Times New Roman" w:hAnsi="Arial" w:cs="Arial"/>
          <w:b/>
          <w:bCs/>
          <w:sz w:val="19"/>
          <w:szCs w:val="19"/>
          <w:lang w:val="en"/>
        </w:rPr>
        <w:t>IRF Measure #13:  IRF Functional Outcome Measure: Discharge Mobility Score for Medical Rehabilitation Patients (NQF #2636)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2016 IRF Final Rule which was published in the Federal Register on August 6, 2015 (80 FR 47120). Data collection for this measure began 10/1/2016.</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#14: Medicare Spending per Beneficiary (MSPB)–PAC IRF QRP</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lastRenderedPageBreak/>
        <w:t>This measure was finalized in FY 2017 IRF PPS Final Rule which was published in the Federal Register on August 5, 2016 (81 FR 52056). This is a claims-based measure and no additional data need to be submitted by the IRF.</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#15: Discharge to Community–PAC IRF QRP</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FY 2017 IRF PPS Final Rule which was published in the Federal Register on August 5, 2016 (81 FR 52056). This is a claims-based measure and no additional data need to be submitted by the IRF.</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Measures #16: Potentially Preventable 30-Day Post-Discharge Readmission Measure for IRF QRP</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FY 2017 IRF PPS Final Rule which was published in the Federal Register on August 5, 2016 (81 FR 52056). This is a claims-based measure and no additional data need to be submitted by the IRF.</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#17: Potentially Preventable Within Stay Readmission Measure</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FY 2017 IRF PPS Final Rule which was published in the Federal Register on August 5, 2016 (81 FR 52056). This is a claims-based measure and no additional data need to be submitted by the IRF.</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#18: Drug regimen Review Conducted with Follow-Up for Identified Issues – PAC IRF QRP</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FY 2017 IRF PPS Final Rule which was published in the Federal Register on August 5, 2016 (81 FR 52111). Data collection for this measure will begin 10/1/2018.</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b/>
          <w:bCs/>
          <w:sz w:val="19"/>
          <w:szCs w:val="19"/>
          <w:lang w:val="en"/>
        </w:rPr>
        <w:t>IRF Measure #19: Changes in Skin Integrity Post-Acute Care: Pressure Ulcer/Injury</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This measure was finalized in the FY 2018 IRF PPS Final Rule which was published on August 3, 2017 (82 FR 36277). Data collection for this measure will begin 10/1/2018 using data elements that already exist on the IRF-PAI. This measure replaces Percent of Residents or Patients with Pressure Ulcers That Are New or Worsened (NQF #0678) as noted above. </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C6CCC">
        <w:rPr>
          <w:rFonts w:ascii="Arial" w:eastAsia="Times New Roman" w:hAnsi="Arial" w:cs="Arial"/>
          <w:sz w:val="19"/>
          <w:szCs w:val="19"/>
          <w:lang w:val="en"/>
        </w:rPr>
        <w:t>For more detailed information on data collection and submission deadlines, please refer to the IRF Quality Data Submission webpage. For more information on the data sets and quality reporting requirements, please reference the IRF-PAI and Section 4, the Quality Indicator section of the IRF Training Manual, located on the IRF-PAI and IRF QRP Manual webpage. </w:t>
      </w:r>
    </w:p>
    <w:p w:rsidR="00DC6CCC" w:rsidRPr="00DC6CCC" w:rsidRDefault="00DC6CCC" w:rsidP="00DC6CCC">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DC6CCC">
        <w:rPr>
          <w:rFonts w:ascii="Arial" w:eastAsia="Times New Roman" w:hAnsi="Arial" w:cs="Arial"/>
          <w:b/>
          <w:bCs/>
          <w:sz w:val="23"/>
          <w:szCs w:val="23"/>
          <w:lang w:val="en"/>
        </w:rPr>
        <w:lastRenderedPageBreak/>
        <w:t>Archives</w:t>
      </w:r>
    </w:p>
    <w:p w:rsidR="00DC6CCC" w:rsidRPr="00DC6CCC" w:rsidRDefault="00DC6CCC" w:rsidP="00DC6CCC">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5" w:tooltip="IRF Quality Reporting Archives" w:history="1">
        <w:r w:rsidRPr="00DC6CCC">
          <w:rPr>
            <w:rFonts w:ascii="Arial" w:eastAsia="Times New Roman" w:hAnsi="Arial" w:cs="Arial"/>
            <w:color w:val="006699"/>
            <w:sz w:val="19"/>
            <w:szCs w:val="19"/>
            <w:u w:val="single"/>
            <w:lang w:val="en"/>
          </w:rPr>
          <w:t>IRF Measures Information Archives</w:t>
        </w:r>
      </w:hyperlink>
    </w:p>
    <w:p w:rsidR="00DC6CCC" w:rsidRPr="00DC6CCC" w:rsidRDefault="00DC6CCC" w:rsidP="00DC6CCC">
      <w:pPr>
        <w:shd w:val="clear" w:color="auto" w:fill="E4E5E5"/>
        <w:spacing w:after="30" w:line="360" w:lineRule="atLeast"/>
        <w:textAlignment w:val="top"/>
        <w:outlineLvl w:val="2"/>
        <w:rPr>
          <w:rFonts w:ascii="Arial" w:eastAsia="Times New Roman" w:hAnsi="Arial" w:cs="Arial"/>
          <w:b/>
          <w:bCs/>
          <w:sz w:val="23"/>
          <w:szCs w:val="23"/>
          <w:lang w:val="en"/>
        </w:rPr>
      </w:pPr>
      <w:r w:rsidRPr="00DC6CCC">
        <w:rPr>
          <w:rFonts w:ascii="Arial" w:eastAsia="Times New Roman" w:hAnsi="Arial" w:cs="Arial"/>
          <w:b/>
          <w:bCs/>
          <w:sz w:val="23"/>
          <w:szCs w:val="23"/>
          <w:lang w:val="en"/>
        </w:rPr>
        <w:t>Downloads</w:t>
      </w:r>
    </w:p>
    <w:p w:rsidR="00DC6CCC" w:rsidRPr="00DC6CCC" w:rsidRDefault="00DC6CCC" w:rsidP="00DC6CCC">
      <w:pPr>
        <w:numPr>
          <w:ilvl w:val="0"/>
          <w:numId w:val="2"/>
        </w:numPr>
        <w:shd w:val="clear" w:color="auto" w:fill="F8F9FA"/>
        <w:spacing w:before="60" w:after="60" w:line="360" w:lineRule="atLeast"/>
        <w:ind w:left="0"/>
        <w:textAlignment w:val="top"/>
        <w:rPr>
          <w:rFonts w:ascii="Arial" w:eastAsia="Times New Roman" w:hAnsi="Arial" w:cs="Arial"/>
          <w:sz w:val="19"/>
          <w:szCs w:val="19"/>
          <w:lang w:val="en"/>
        </w:rPr>
      </w:pPr>
      <w:hyperlink r:id="rId6" w:history="1">
        <w:r w:rsidRPr="00DC6CCC">
          <w:rPr>
            <w:rFonts w:ascii="Arial" w:eastAsia="Times New Roman" w:hAnsi="Arial" w:cs="Arial"/>
            <w:color w:val="006699"/>
            <w:sz w:val="19"/>
            <w:szCs w:val="19"/>
            <w:u w:val="single"/>
            <w:lang w:val="en"/>
          </w:rPr>
          <w:t xml:space="preserve">IRF QM Report - Measures Added - October 2018 [PDF, 43KB] </w:t>
        </w:r>
      </w:hyperlink>
    </w:p>
    <w:p w:rsidR="00DC6CCC" w:rsidRPr="00DC6CCC" w:rsidRDefault="00DC6CCC" w:rsidP="00DC6CCC">
      <w:pPr>
        <w:numPr>
          <w:ilvl w:val="0"/>
          <w:numId w:val="2"/>
        </w:numPr>
        <w:shd w:val="clear" w:color="auto" w:fill="F8F9FA"/>
        <w:spacing w:before="60" w:after="60" w:line="360" w:lineRule="atLeast"/>
        <w:ind w:left="0"/>
        <w:textAlignment w:val="top"/>
        <w:rPr>
          <w:rFonts w:ascii="Arial" w:eastAsia="Times New Roman" w:hAnsi="Arial" w:cs="Arial"/>
          <w:sz w:val="19"/>
          <w:szCs w:val="19"/>
          <w:lang w:val="en"/>
        </w:rPr>
      </w:pPr>
      <w:hyperlink r:id="rId7" w:history="1">
        <w:r w:rsidRPr="00DC6CCC">
          <w:rPr>
            <w:rFonts w:ascii="Arial" w:eastAsia="Times New Roman" w:hAnsi="Arial" w:cs="Arial"/>
            <w:color w:val="006699"/>
            <w:sz w:val="19"/>
            <w:szCs w:val="19"/>
            <w:u w:val="single"/>
            <w:lang w:val="en"/>
          </w:rPr>
          <w:t xml:space="preserve">IRF QRP Table for Reporting Assessment-Based Measures for the FY 2020 IRF QRP </w:t>
        </w:r>
        <w:proofErr w:type="spellStart"/>
        <w:r w:rsidRPr="00DC6CCC">
          <w:rPr>
            <w:rFonts w:ascii="Arial" w:eastAsia="Times New Roman" w:hAnsi="Arial" w:cs="Arial"/>
            <w:color w:val="006699"/>
            <w:sz w:val="19"/>
            <w:szCs w:val="19"/>
            <w:u w:val="single"/>
            <w:lang w:val="en"/>
          </w:rPr>
          <w:t>APU_revised</w:t>
        </w:r>
        <w:proofErr w:type="spellEnd"/>
        <w:r w:rsidRPr="00DC6CCC">
          <w:rPr>
            <w:rFonts w:ascii="Arial" w:eastAsia="Times New Roman" w:hAnsi="Arial" w:cs="Arial"/>
            <w:color w:val="006699"/>
            <w:sz w:val="19"/>
            <w:szCs w:val="19"/>
            <w:u w:val="single"/>
            <w:lang w:val="en"/>
          </w:rPr>
          <w:t xml:space="preserve"> [PDF, 140KB] </w:t>
        </w:r>
      </w:hyperlink>
    </w:p>
    <w:p w:rsidR="00DC6CCC" w:rsidRPr="00DC6CCC" w:rsidRDefault="00DC6CCC" w:rsidP="00DC6CCC">
      <w:pPr>
        <w:numPr>
          <w:ilvl w:val="0"/>
          <w:numId w:val="2"/>
        </w:numPr>
        <w:shd w:val="clear" w:color="auto" w:fill="F8F9FA"/>
        <w:spacing w:before="60" w:after="60" w:line="360" w:lineRule="atLeast"/>
        <w:ind w:left="0"/>
        <w:textAlignment w:val="top"/>
        <w:rPr>
          <w:rFonts w:ascii="Arial" w:eastAsia="Times New Roman" w:hAnsi="Arial" w:cs="Arial"/>
          <w:sz w:val="19"/>
          <w:szCs w:val="19"/>
          <w:lang w:val="en"/>
        </w:rPr>
      </w:pPr>
      <w:hyperlink r:id="rId8" w:history="1">
        <w:r w:rsidRPr="00DC6CCC">
          <w:rPr>
            <w:rFonts w:ascii="Arial" w:eastAsia="Times New Roman" w:hAnsi="Arial" w:cs="Arial"/>
            <w:color w:val="006699"/>
            <w:sz w:val="19"/>
            <w:szCs w:val="19"/>
            <w:u w:val="single"/>
            <w:lang w:val="en"/>
          </w:rPr>
          <w:t xml:space="preserve">IRF Measure Calculations and Reporting User's Manual V3.0 [PDF, 1MB] </w:t>
        </w:r>
      </w:hyperlink>
    </w:p>
    <w:p w:rsidR="00DC6CCC" w:rsidRPr="00DC6CCC" w:rsidRDefault="00DC6CCC" w:rsidP="00DC6CCC">
      <w:pPr>
        <w:numPr>
          <w:ilvl w:val="0"/>
          <w:numId w:val="2"/>
        </w:numPr>
        <w:shd w:val="clear" w:color="auto" w:fill="F8F9FA"/>
        <w:spacing w:before="60" w:after="60" w:line="360" w:lineRule="atLeast"/>
        <w:ind w:left="0"/>
        <w:textAlignment w:val="top"/>
        <w:rPr>
          <w:rFonts w:ascii="Arial" w:eastAsia="Times New Roman" w:hAnsi="Arial" w:cs="Arial"/>
          <w:sz w:val="19"/>
          <w:szCs w:val="19"/>
          <w:lang w:val="en"/>
        </w:rPr>
      </w:pPr>
      <w:hyperlink r:id="rId9" w:history="1">
        <w:r w:rsidRPr="00DC6CCC">
          <w:rPr>
            <w:rFonts w:ascii="Arial" w:eastAsia="Times New Roman" w:hAnsi="Arial" w:cs="Arial"/>
            <w:color w:val="006699"/>
            <w:sz w:val="19"/>
            <w:szCs w:val="19"/>
            <w:u w:val="single"/>
            <w:lang w:val="en"/>
          </w:rPr>
          <w:t xml:space="preserve">IRF Measure Calculations and Reporting User's Manual V3.0 Change Table [PDF, 515KB] </w:t>
        </w:r>
      </w:hyperlink>
    </w:p>
    <w:p w:rsidR="00DC6CCC" w:rsidRPr="00DC6CCC" w:rsidRDefault="00DC6CCC" w:rsidP="00DC6CCC">
      <w:pPr>
        <w:numPr>
          <w:ilvl w:val="0"/>
          <w:numId w:val="2"/>
        </w:numPr>
        <w:shd w:val="clear" w:color="auto" w:fill="F8F9FA"/>
        <w:spacing w:before="60" w:after="60" w:line="360" w:lineRule="atLeast"/>
        <w:ind w:left="0"/>
        <w:textAlignment w:val="top"/>
        <w:rPr>
          <w:rFonts w:ascii="Arial" w:eastAsia="Times New Roman" w:hAnsi="Arial" w:cs="Arial"/>
          <w:sz w:val="19"/>
          <w:szCs w:val="19"/>
          <w:lang w:val="en"/>
        </w:rPr>
      </w:pPr>
      <w:hyperlink r:id="rId10" w:history="1">
        <w:r w:rsidRPr="00DC6CCC">
          <w:rPr>
            <w:rFonts w:ascii="Arial" w:eastAsia="Times New Roman" w:hAnsi="Arial" w:cs="Arial"/>
            <w:color w:val="006699"/>
            <w:sz w:val="19"/>
            <w:szCs w:val="19"/>
            <w:u w:val="single"/>
            <w:lang w:val="en"/>
          </w:rPr>
          <w:t xml:space="preserve">Risk Adjustment Appendix File For IRF Measure Calculations and Reporting User's Manual V3.0 [XLSX, 45KB] </w:t>
        </w:r>
      </w:hyperlink>
    </w:p>
    <w:p w:rsidR="00DC6CCC" w:rsidRPr="00DC6CCC" w:rsidRDefault="00DC6CCC" w:rsidP="00DC6CCC">
      <w:pPr>
        <w:numPr>
          <w:ilvl w:val="0"/>
          <w:numId w:val="2"/>
        </w:numPr>
        <w:shd w:val="clear" w:color="auto" w:fill="F8F9FA"/>
        <w:spacing w:before="60" w:after="150" w:line="360" w:lineRule="atLeast"/>
        <w:ind w:left="0"/>
        <w:textAlignment w:val="top"/>
        <w:rPr>
          <w:rFonts w:ascii="Arial" w:eastAsia="Times New Roman" w:hAnsi="Arial" w:cs="Arial"/>
          <w:sz w:val="19"/>
          <w:szCs w:val="19"/>
          <w:lang w:val="en"/>
        </w:rPr>
      </w:pPr>
      <w:hyperlink r:id="rId11" w:history="1">
        <w:r w:rsidRPr="00DC6CCC">
          <w:rPr>
            <w:rFonts w:ascii="Arial" w:eastAsia="Times New Roman" w:hAnsi="Arial" w:cs="Arial"/>
            <w:color w:val="006699"/>
            <w:sz w:val="19"/>
            <w:szCs w:val="19"/>
            <w:u w:val="single"/>
            <w:lang w:val="en"/>
          </w:rPr>
          <w:t xml:space="preserve">Final Specifications for IRF QRP Quality Measures and Standardized Patient Assessment Data Elements-Effective October 1 2018.pdf [PDF, 395KB] </w:t>
        </w:r>
      </w:hyperlink>
    </w:p>
    <w:p w:rsidR="00B801D0" w:rsidRDefault="00B801D0">
      <w:bookmarkStart w:id="0" w:name="_GoBack"/>
      <w:bookmarkEnd w:id="0"/>
    </w:p>
    <w:sectPr w:rsidR="00B801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15:restartNumberingAfterBreak="0">
    <w:nsid w:val="40303020"/>
    <w:multiLevelType w:val="multilevel"/>
    <w:tmpl w:val="D868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ED1982"/>
    <w:multiLevelType w:val="multilevel"/>
    <w:tmpl w:val="6EAC1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CC"/>
    <w:rsid w:val="00B801D0"/>
    <w:rsid w:val="00DC6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76D1D8-2995-4E9D-B43F-C70BA7874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C6CCC"/>
    <w:pPr>
      <w:spacing w:before="120" w:after="120"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DC6CCC"/>
    <w:pPr>
      <w:spacing w:before="120" w:after="120"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CCC"/>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DC6CCC"/>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DC6CCC"/>
    <w:rPr>
      <w:color w:val="006699"/>
      <w:u w:val="single"/>
    </w:rPr>
  </w:style>
  <w:style w:type="character" w:styleId="Strong">
    <w:name w:val="Strong"/>
    <w:basedOn w:val="DefaultParagraphFont"/>
    <w:uiPriority w:val="22"/>
    <w:qFormat/>
    <w:rsid w:val="00DC6CCC"/>
    <w:rPr>
      <w:b/>
      <w:bCs/>
    </w:rPr>
  </w:style>
  <w:style w:type="paragraph" w:styleId="NormalWeb">
    <w:name w:val="Normal (Web)"/>
    <w:basedOn w:val="Normal"/>
    <w:uiPriority w:val="99"/>
    <w:semiHidden/>
    <w:unhideWhenUsed/>
    <w:rsid w:val="00DC6C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720726">
      <w:bodyDiv w:val="1"/>
      <w:marLeft w:val="0"/>
      <w:marRight w:val="0"/>
      <w:marTop w:val="0"/>
      <w:marBottom w:val="0"/>
      <w:divBdr>
        <w:top w:val="none" w:sz="0" w:space="0" w:color="auto"/>
        <w:left w:val="none" w:sz="0" w:space="0" w:color="auto"/>
        <w:bottom w:val="none" w:sz="0" w:space="0" w:color="auto"/>
        <w:right w:val="none" w:sz="0" w:space="0" w:color="auto"/>
      </w:divBdr>
      <w:divsChild>
        <w:div w:id="331027612">
          <w:marLeft w:val="0"/>
          <w:marRight w:val="0"/>
          <w:marTop w:val="0"/>
          <w:marBottom w:val="0"/>
          <w:divBdr>
            <w:top w:val="none" w:sz="0" w:space="0" w:color="auto"/>
            <w:left w:val="none" w:sz="0" w:space="0" w:color="auto"/>
            <w:bottom w:val="none" w:sz="0" w:space="0" w:color="auto"/>
            <w:right w:val="none" w:sz="0" w:space="0" w:color="auto"/>
          </w:divBdr>
          <w:divsChild>
            <w:div w:id="387415960">
              <w:marLeft w:val="0"/>
              <w:marRight w:val="0"/>
              <w:marTop w:val="0"/>
              <w:marBottom w:val="0"/>
              <w:divBdr>
                <w:top w:val="none" w:sz="0" w:space="0" w:color="auto"/>
                <w:left w:val="none" w:sz="0" w:space="0" w:color="auto"/>
                <w:bottom w:val="none" w:sz="0" w:space="0" w:color="auto"/>
                <w:right w:val="none" w:sz="0" w:space="0" w:color="auto"/>
              </w:divBdr>
              <w:divsChild>
                <w:div w:id="264967977">
                  <w:marLeft w:val="0"/>
                  <w:marRight w:val="0"/>
                  <w:marTop w:val="0"/>
                  <w:marBottom w:val="0"/>
                  <w:divBdr>
                    <w:top w:val="none" w:sz="0" w:space="0" w:color="auto"/>
                    <w:left w:val="none" w:sz="0" w:space="0" w:color="auto"/>
                    <w:bottom w:val="none" w:sz="0" w:space="0" w:color="auto"/>
                    <w:right w:val="none" w:sz="0" w:space="0" w:color="auto"/>
                  </w:divBdr>
                  <w:divsChild>
                    <w:div w:id="1135215560">
                      <w:marLeft w:val="0"/>
                      <w:marRight w:val="0"/>
                      <w:marTop w:val="0"/>
                      <w:marBottom w:val="0"/>
                      <w:divBdr>
                        <w:top w:val="none" w:sz="0" w:space="0" w:color="auto"/>
                        <w:left w:val="none" w:sz="0" w:space="0" w:color="auto"/>
                        <w:bottom w:val="none" w:sz="0" w:space="0" w:color="auto"/>
                        <w:right w:val="none" w:sz="0" w:space="0" w:color="auto"/>
                      </w:divBdr>
                      <w:divsChild>
                        <w:div w:id="1813675782">
                          <w:marLeft w:val="0"/>
                          <w:marRight w:val="0"/>
                          <w:marTop w:val="0"/>
                          <w:marBottom w:val="0"/>
                          <w:divBdr>
                            <w:top w:val="none" w:sz="0" w:space="0" w:color="auto"/>
                            <w:left w:val="none" w:sz="0" w:space="0" w:color="auto"/>
                            <w:bottom w:val="none" w:sz="0" w:space="0" w:color="auto"/>
                            <w:right w:val="none" w:sz="0" w:space="0" w:color="auto"/>
                          </w:divBdr>
                        </w:div>
                        <w:div w:id="1554926856">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009526052">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Quality-Initiatives-Patient-Assessment-Instruments/IRF-Quality-Reporting/Downloads/IRF-Measure-Calculations-and-Reporting-Users-Manual-V3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ms.gov/Medicare/Quality-Initiatives-Patient-Assessment-Instruments/IRF-Quality-Reporting/Downloads/IRF-QRP-Table-for-Reporting-Assessment-Based-Measures-for-the-FY-2020-IRF-QRP-APU_revised.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ms.gov/Medicare/Quality-Initiatives-Patient-Assessment-Instruments/IRF-Quality-Reporting/Downloads/IRF-QM-Report-Measures-Added-October-2018.pdf" TargetMode="External"/><Relationship Id="rId11" Type="http://schemas.openxmlformats.org/officeDocument/2006/relationships/hyperlink" Target="https://www.cms.gov/Medicare/Quality-Initiatives-Patient-Assessment-Instruments/IRF-Quality-Reporting/Downloads/Final-Specifications-for-IRF-QRP-Quality-Measures-and-Standardized-Patient-Assessment-Data-Elements-Effective-October-1-2018.pdf" TargetMode="External"/><Relationship Id="rId5" Type="http://schemas.openxmlformats.org/officeDocument/2006/relationships/hyperlink" Target="https://www.cms.gov/Medicare/Quality-Initiatives-Patient-Assessment-Instruments/IRF-Quality-Reporting/IRF-Quality-Reporting-Archives.html" TargetMode="External"/><Relationship Id="rId10" Type="http://schemas.openxmlformats.org/officeDocument/2006/relationships/hyperlink" Target="https://www.cms.gov/Medicare/Quality-Initiatives-Patient-Assessment-Instruments/IRF-Quality-Reporting/Downloads/Risk-Adjustment-Appendix-File-For-IRF-Measure-Calculations-and-Reporting-Users-Manual-V30.xlsx" TargetMode="External"/><Relationship Id="rId4" Type="http://schemas.openxmlformats.org/officeDocument/2006/relationships/webSettings" Target="webSettings.xml"/><Relationship Id="rId9" Type="http://schemas.openxmlformats.org/officeDocument/2006/relationships/hyperlink" Target="https://www.cms.gov/Medicare/Quality-Initiatives-Patient-Assessment-Instruments/IRF-Quality-Reporting/Downloads/IRF-Measure-Calculations-and-Reporting-Users-Manual-V30-Change-Tab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1634</Words>
  <Characters>9317</Characters>
  <Application>Microsoft Office Word</Application>
  <DocSecurity>0</DocSecurity>
  <Lines>77</Lines>
  <Paragraphs>21</Paragraphs>
  <ScaleCrop>false</ScaleCrop>
  <Company>CMS</Company>
  <LinksUpToDate>false</LinksUpToDate>
  <CharactersWithSpaces>10930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1</cp:revision>
  <dcterms:created xsi:type="dcterms:W3CDTF">2018-10-31T15:24:00Z</dcterms:created>
  <dcterms:modified xsi:type="dcterms:W3CDTF">2018-10-31T15:24:00Z</dcterms:modified>
</cp:coreProperties>
</file>