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9DC" w:rsidRDefault="00557A98" w:rsidP="001759DC">
      <w:pPr>
        <w:spacing w:before="0" w:after="8"/>
        <w:rPr>
          <w:rFonts w:ascii="Palatino" w:hAnsi="Palatino"/>
          <w:caps/>
          <w:sz w:val="19"/>
          <w:szCs w:val="19"/>
        </w:rPr>
      </w:pPr>
      <w:bookmarkStart w:id="0" w:name="_GoBack"/>
      <w:bookmarkEnd w:id="0"/>
      <w:r>
        <w:rPr>
          <w:rFonts w:ascii="Palatino" w:hAnsi="Palatino"/>
          <w:caps/>
          <w:noProof/>
          <w:sz w:val="19"/>
          <w:szCs w:val="19"/>
        </w:rPr>
        <w:drawing>
          <wp:anchor distT="0" distB="0" distL="114300" distR="114300" simplePos="0" relativeHeight="251663360" behindDoc="1" locked="0" layoutInCell="1" allowOverlap="1">
            <wp:simplePos x="0" y="0"/>
            <wp:positionH relativeFrom="column">
              <wp:posOffset>3848100</wp:posOffset>
            </wp:positionH>
            <wp:positionV relativeFrom="paragraph">
              <wp:posOffset>-123825</wp:posOffset>
            </wp:positionV>
            <wp:extent cx="1978025" cy="800100"/>
            <wp:effectExtent l="0" t="0" r="3175" b="0"/>
            <wp:wrapNone/>
            <wp:docPr id="1" name="Picture 1" title="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SlogoOO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78025" cy="800100"/>
                    </a:xfrm>
                    <a:prstGeom prst="rect">
                      <a:avLst/>
                    </a:prstGeom>
                  </pic:spPr>
                </pic:pic>
              </a:graphicData>
            </a:graphic>
          </wp:anchor>
        </w:drawing>
      </w:r>
      <w:r w:rsidR="001759DC" w:rsidRPr="00AE4B58">
        <w:rPr>
          <w:rFonts w:ascii="Palatino" w:hAnsi="Palatino"/>
          <w:caps/>
          <w:sz w:val="19"/>
          <w:szCs w:val="19"/>
        </w:rPr>
        <w:t>Department of Health &amp; Human Services</w:t>
      </w:r>
    </w:p>
    <w:p w:rsidR="001759DC" w:rsidRDefault="001759DC" w:rsidP="001759DC">
      <w:pPr>
        <w:spacing w:before="0" w:after="8"/>
        <w:rPr>
          <w:rFonts w:ascii="Palatino" w:hAnsi="Palatino"/>
          <w:sz w:val="19"/>
          <w:szCs w:val="19"/>
        </w:rPr>
      </w:pPr>
      <w:r w:rsidRPr="00AE4B58">
        <w:rPr>
          <w:rFonts w:ascii="Palatino" w:hAnsi="Palatino"/>
          <w:sz w:val="19"/>
          <w:szCs w:val="19"/>
        </w:rPr>
        <w:t>Centers for Medicare &amp; Medicaid Services</w:t>
      </w:r>
    </w:p>
    <w:p w:rsidR="001759DC" w:rsidRDefault="001759DC" w:rsidP="001759DC">
      <w:pPr>
        <w:spacing w:before="0" w:after="8"/>
        <w:rPr>
          <w:rFonts w:ascii="Palatino" w:hAnsi="Palatino"/>
          <w:sz w:val="19"/>
          <w:szCs w:val="19"/>
        </w:rPr>
      </w:pPr>
      <w:r w:rsidRPr="00AE4B58">
        <w:rPr>
          <w:rFonts w:ascii="Palatino" w:hAnsi="Palatino"/>
          <w:sz w:val="19"/>
          <w:szCs w:val="19"/>
        </w:rPr>
        <w:t>7500 Security Boulevard</w:t>
      </w:r>
    </w:p>
    <w:p w:rsidR="00712BCF" w:rsidRPr="007B1F78" w:rsidRDefault="001759DC" w:rsidP="00442934">
      <w:pPr>
        <w:spacing w:before="0" w:after="0"/>
        <w:rPr>
          <w:rFonts w:ascii="Palatino" w:hAnsi="Palatino"/>
          <w:sz w:val="19"/>
        </w:rPr>
      </w:pPr>
      <w:r w:rsidRPr="00AE4B58">
        <w:rPr>
          <w:rFonts w:ascii="Palatino" w:hAnsi="Palatino"/>
          <w:sz w:val="19"/>
          <w:szCs w:val="19"/>
        </w:rPr>
        <w:t>Baltimore, Maryland 21244-1850</w:t>
      </w:r>
    </w:p>
    <w:p w:rsidR="00712BCF" w:rsidRPr="00CA0B36" w:rsidRDefault="00A24224" w:rsidP="00CA0B36">
      <w:pPr>
        <w:spacing w:after="360"/>
        <w:rPr>
          <w:rFonts w:ascii="Times New Roman" w:hAnsi="Times New Roman"/>
          <w:b/>
          <w:bCs/>
          <w:sz w:val="23"/>
          <w:szCs w:val="23"/>
        </w:rPr>
      </w:pPr>
      <w:r>
        <w:rPr>
          <w:rFonts w:ascii="Times New Roman" w:hAnsi="Times New Roman"/>
          <w:smallCaps/>
          <w:noProof/>
        </w:rPr>
        <mc:AlternateContent>
          <mc:Choice Requires="wps">
            <w:drawing>
              <wp:anchor distT="0" distB="0" distL="114300" distR="114300" simplePos="0" relativeHeight="251658240" behindDoc="0" locked="0" layoutInCell="0" allowOverlap="1">
                <wp:simplePos x="0" y="0"/>
                <wp:positionH relativeFrom="column">
                  <wp:posOffset>-13335</wp:posOffset>
                </wp:positionH>
                <wp:positionV relativeFrom="paragraph">
                  <wp:posOffset>294640</wp:posOffset>
                </wp:positionV>
                <wp:extent cx="5943600" cy="0"/>
                <wp:effectExtent l="15240" t="8890" r="13335" b="10160"/>
                <wp:wrapNone/>
                <wp:docPr id="2" name="Line 3" descr="Line" title="Line separating CMS logo from body of documen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9D09B5" id="Line 3" o:spid="_x0000_s1026" alt="Title: Line separating CMS logo from body of document - Description: Line"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23.2pt" to="466.9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" o:allowincell="f" strokeweight="1pt"/>
            </w:pict>
          </mc:Fallback>
        </mc:AlternateContent>
      </w:r>
      <w:r w:rsidR="00CA0B36" w:rsidRPr="00CA0B36">
        <w:rPr>
          <w:rFonts w:ascii="Times New Roman" w:hAnsi="Times New Roman"/>
          <w:b/>
          <w:bCs/>
          <w:sz w:val="23"/>
          <w:szCs w:val="23"/>
        </w:rPr>
        <w:t>CENTER FOR MEDICARE</w:t>
      </w:r>
    </w:p>
    <w:p w:rsidR="001759DC" w:rsidRPr="00250AE2" w:rsidRDefault="001759DC" w:rsidP="001759DC">
      <w:pPr>
        <w:tabs>
          <w:tab w:val="left" w:pos="1080"/>
        </w:tabs>
        <w:autoSpaceDE w:val="0"/>
        <w:autoSpaceDN w:val="0"/>
        <w:adjustRightInd w:val="0"/>
        <w:ind w:left="1080" w:hanging="1080"/>
        <w:rPr>
          <w:rFonts w:asciiTheme="minorHAnsi" w:hAnsiTheme="minorHAnsi" w:cstheme="minorHAnsi"/>
          <w:color w:val="000000"/>
        </w:rPr>
      </w:pPr>
      <w:r w:rsidRPr="00AE4B58">
        <w:rPr>
          <w:rFonts w:asciiTheme="minorHAnsi" w:hAnsiTheme="minorHAnsi" w:cstheme="minorHAnsi"/>
          <w:color w:val="000000"/>
        </w:rPr>
        <w:t xml:space="preserve">Date: </w:t>
      </w:r>
      <w:r w:rsidRPr="00AE4B58">
        <w:rPr>
          <w:rFonts w:asciiTheme="minorHAnsi" w:hAnsiTheme="minorHAnsi" w:cstheme="minorHAnsi"/>
          <w:color w:val="000000"/>
        </w:rPr>
        <w:tab/>
      </w:r>
      <w:r w:rsidR="00A23AF5">
        <w:rPr>
          <w:rFonts w:asciiTheme="minorHAnsi" w:hAnsiTheme="minorHAnsi" w:cstheme="minorHAnsi"/>
          <w:color w:val="000000"/>
        </w:rPr>
        <w:t>November</w:t>
      </w:r>
      <w:r w:rsidR="0038291C">
        <w:rPr>
          <w:rFonts w:asciiTheme="minorHAnsi" w:hAnsiTheme="minorHAnsi" w:cstheme="minorHAnsi"/>
          <w:color w:val="000000"/>
        </w:rPr>
        <w:t xml:space="preserve"> </w:t>
      </w:r>
      <w:r w:rsidR="00546DA4">
        <w:rPr>
          <w:rFonts w:asciiTheme="minorHAnsi" w:hAnsiTheme="minorHAnsi" w:cstheme="minorHAnsi"/>
          <w:color w:val="000000"/>
        </w:rPr>
        <w:t>9</w:t>
      </w:r>
      <w:r w:rsidRPr="00AE4B58">
        <w:rPr>
          <w:rFonts w:asciiTheme="minorHAnsi" w:hAnsiTheme="minorHAnsi" w:cstheme="minorHAnsi"/>
          <w:color w:val="000000"/>
        </w:rPr>
        <w:t>, 201</w:t>
      </w:r>
      <w:r w:rsidR="001974A5">
        <w:rPr>
          <w:rFonts w:asciiTheme="minorHAnsi" w:hAnsiTheme="minorHAnsi" w:cstheme="minorHAnsi"/>
          <w:color w:val="000000"/>
        </w:rPr>
        <w:t>5</w:t>
      </w:r>
    </w:p>
    <w:p w:rsidR="001759DC" w:rsidRPr="00250AE2" w:rsidRDefault="001759DC" w:rsidP="001759DC">
      <w:pPr>
        <w:tabs>
          <w:tab w:val="left" w:pos="1080"/>
        </w:tabs>
        <w:autoSpaceDE w:val="0"/>
        <w:autoSpaceDN w:val="0"/>
        <w:adjustRightInd w:val="0"/>
        <w:ind w:left="1080" w:hanging="1080"/>
        <w:rPr>
          <w:rFonts w:asciiTheme="minorHAnsi" w:hAnsiTheme="minorHAnsi" w:cstheme="minorHAnsi"/>
          <w:color w:val="000000"/>
        </w:rPr>
      </w:pPr>
      <w:r w:rsidRPr="00AE4B58">
        <w:rPr>
          <w:rFonts w:asciiTheme="minorHAnsi" w:hAnsiTheme="minorHAnsi" w:cstheme="minorHAnsi"/>
          <w:color w:val="000000"/>
        </w:rPr>
        <w:t xml:space="preserve">To: </w:t>
      </w:r>
      <w:r w:rsidRPr="00AE4B58">
        <w:rPr>
          <w:rFonts w:asciiTheme="minorHAnsi" w:hAnsiTheme="minorHAnsi" w:cstheme="minorHAnsi"/>
          <w:color w:val="000000"/>
        </w:rPr>
        <w:tab/>
        <w:t>All Medicare Advantage Organizations (MAO), Prescription Drug Plan (PDP</w:t>
      </w:r>
      <w:r w:rsidR="00012FA1">
        <w:rPr>
          <w:rFonts w:asciiTheme="minorHAnsi" w:hAnsiTheme="minorHAnsi" w:cstheme="minorHAnsi"/>
          <w:color w:val="000000"/>
        </w:rPr>
        <w:t>) Sponsors,</w:t>
      </w:r>
      <w:r w:rsidR="00DA036C">
        <w:rPr>
          <w:rFonts w:asciiTheme="minorHAnsi" w:hAnsiTheme="minorHAnsi" w:cstheme="minorHAnsi"/>
          <w:color w:val="000000"/>
        </w:rPr>
        <w:t xml:space="preserve"> and</w:t>
      </w:r>
      <w:r w:rsidR="00012FA1">
        <w:rPr>
          <w:rFonts w:asciiTheme="minorHAnsi" w:hAnsiTheme="minorHAnsi" w:cstheme="minorHAnsi"/>
          <w:color w:val="000000"/>
        </w:rPr>
        <w:t xml:space="preserve"> </w:t>
      </w:r>
      <w:r w:rsidR="00735B63">
        <w:rPr>
          <w:rFonts w:asciiTheme="minorHAnsi" w:hAnsiTheme="minorHAnsi" w:cstheme="minorHAnsi"/>
          <w:color w:val="000000"/>
        </w:rPr>
        <w:t xml:space="preserve">1833 &amp; </w:t>
      </w:r>
      <w:r w:rsidRPr="00AE4B58">
        <w:rPr>
          <w:rFonts w:asciiTheme="minorHAnsi" w:hAnsiTheme="minorHAnsi" w:cstheme="minorHAnsi"/>
          <w:color w:val="000000"/>
        </w:rPr>
        <w:t>1876 Cost Plans</w:t>
      </w:r>
      <w:r w:rsidR="00012FA1">
        <w:rPr>
          <w:rFonts w:asciiTheme="minorHAnsi" w:hAnsiTheme="minorHAnsi" w:cstheme="minorHAnsi"/>
          <w:color w:val="000000"/>
        </w:rPr>
        <w:t xml:space="preserve"> </w:t>
      </w:r>
    </w:p>
    <w:p w:rsidR="001759DC" w:rsidRDefault="001759DC" w:rsidP="001759DC">
      <w:pPr>
        <w:tabs>
          <w:tab w:val="left" w:pos="1080"/>
        </w:tabs>
        <w:autoSpaceDE w:val="0"/>
        <w:autoSpaceDN w:val="0"/>
        <w:adjustRightInd w:val="0"/>
        <w:ind w:left="1080" w:hanging="1080"/>
        <w:rPr>
          <w:rFonts w:asciiTheme="minorHAnsi" w:hAnsiTheme="minorHAnsi" w:cstheme="minorHAnsi"/>
          <w:color w:val="000000"/>
        </w:rPr>
      </w:pPr>
      <w:r w:rsidRPr="00AE4B58">
        <w:rPr>
          <w:rFonts w:asciiTheme="minorHAnsi" w:hAnsiTheme="minorHAnsi" w:cstheme="minorHAnsi"/>
          <w:color w:val="000000"/>
        </w:rPr>
        <w:t xml:space="preserve">From: </w:t>
      </w:r>
      <w:r w:rsidRPr="00AE4B58">
        <w:rPr>
          <w:rFonts w:asciiTheme="minorHAnsi" w:hAnsiTheme="minorHAnsi" w:cstheme="minorHAnsi"/>
          <w:color w:val="000000"/>
        </w:rPr>
        <w:tab/>
      </w:r>
      <w:r w:rsidR="00430356">
        <w:rPr>
          <w:rFonts w:asciiTheme="minorHAnsi" w:hAnsiTheme="minorHAnsi" w:cstheme="minorHAnsi"/>
          <w:color w:val="000000"/>
        </w:rPr>
        <w:t>Amy K. Larrick</w:t>
      </w:r>
      <w:r w:rsidRPr="00AE4B58">
        <w:rPr>
          <w:rFonts w:asciiTheme="minorHAnsi" w:hAnsiTheme="minorHAnsi" w:cstheme="minorHAnsi"/>
          <w:color w:val="000000"/>
        </w:rPr>
        <w:t xml:space="preserve">, </w:t>
      </w:r>
      <w:r w:rsidR="00430356">
        <w:rPr>
          <w:rFonts w:asciiTheme="minorHAnsi" w:hAnsiTheme="minorHAnsi" w:cstheme="minorHAnsi"/>
          <w:color w:val="000000"/>
        </w:rPr>
        <w:t xml:space="preserve">Acting </w:t>
      </w:r>
      <w:r w:rsidRPr="00AE4B58">
        <w:rPr>
          <w:rFonts w:asciiTheme="minorHAnsi" w:hAnsiTheme="minorHAnsi" w:cstheme="minorHAnsi"/>
          <w:color w:val="000000"/>
        </w:rPr>
        <w:t xml:space="preserve">Director, Medicare Drug Benefit and C &amp; D Data Group </w:t>
      </w:r>
    </w:p>
    <w:p w:rsidR="001759DC" w:rsidRPr="00250AE2" w:rsidRDefault="009008DB" w:rsidP="001759DC">
      <w:pPr>
        <w:tabs>
          <w:tab w:val="left" w:pos="1080"/>
        </w:tabs>
        <w:autoSpaceDE w:val="0"/>
        <w:autoSpaceDN w:val="0"/>
        <w:adjustRightInd w:val="0"/>
        <w:ind w:left="1080"/>
        <w:rPr>
          <w:rFonts w:asciiTheme="minorHAnsi" w:hAnsiTheme="minorHAnsi" w:cstheme="minorHAnsi"/>
          <w:color w:val="000000"/>
        </w:rPr>
      </w:pPr>
      <w:r>
        <w:rPr>
          <w:rFonts w:asciiTheme="minorHAnsi" w:hAnsiTheme="minorHAnsi" w:cstheme="minorHAnsi"/>
          <w:color w:val="000000"/>
        </w:rPr>
        <w:t>Kathryn A. Coleman</w:t>
      </w:r>
      <w:r w:rsidR="001759DC" w:rsidRPr="00AE4B58">
        <w:rPr>
          <w:rFonts w:asciiTheme="minorHAnsi" w:hAnsiTheme="minorHAnsi" w:cstheme="minorHAnsi"/>
          <w:color w:val="000000"/>
        </w:rPr>
        <w:t>, Director, Medicare Drug &amp; Health Plan Contract Administration Group</w:t>
      </w:r>
    </w:p>
    <w:p w:rsidR="00211F46" w:rsidRPr="00EC5640" w:rsidRDefault="001759DC" w:rsidP="00EC5640">
      <w:pPr>
        <w:tabs>
          <w:tab w:val="left" w:pos="1080"/>
        </w:tabs>
        <w:autoSpaceDE w:val="0"/>
        <w:autoSpaceDN w:val="0"/>
        <w:adjustRightInd w:val="0"/>
        <w:ind w:left="1080" w:hanging="1080"/>
        <w:rPr>
          <w:rFonts w:asciiTheme="minorHAnsi" w:hAnsiTheme="minorHAnsi" w:cstheme="minorHAnsi"/>
          <w:color w:val="000000"/>
        </w:rPr>
      </w:pPr>
      <w:r w:rsidRPr="00AE4B58">
        <w:rPr>
          <w:rFonts w:asciiTheme="minorHAnsi" w:hAnsiTheme="minorHAnsi" w:cstheme="minorHAnsi"/>
          <w:color w:val="000000"/>
        </w:rPr>
        <w:t xml:space="preserve">Subject: </w:t>
      </w:r>
      <w:r w:rsidRPr="00AE4B58">
        <w:rPr>
          <w:rFonts w:asciiTheme="minorHAnsi" w:hAnsiTheme="minorHAnsi" w:cstheme="minorHAnsi"/>
          <w:color w:val="000000"/>
        </w:rPr>
        <w:tab/>
      </w:r>
      <w:r w:rsidR="00D91E7C">
        <w:rPr>
          <w:rFonts w:asciiTheme="minorHAnsi" w:hAnsiTheme="minorHAnsi" w:cstheme="minorHAnsi"/>
          <w:color w:val="000000"/>
        </w:rPr>
        <w:t>2016</w:t>
      </w:r>
      <w:r w:rsidR="00EC5640">
        <w:rPr>
          <w:rFonts w:asciiTheme="minorHAnsi" w:hAnsiTheme="minorHAnsi" w:cstheme="minorHAnsi"/>
          <w:color w:val="000000"/>
        </w:rPr>
        <w:t xml:space="preserve"> </w:t>
      </w:r>
      <w:r w:rsidR="007A0C7A">
        <w:rPr>
          <w:rFonts w:asciiTheme="minorHAnsi" w:hAnsiTheme="minorHAnsi" w:cstheme="minorHAnsi"/>
          <w:color w:val="000000"/>
        </w:rPr>
        <w:t>Readiness Checklist for Medicare Advantage</w:t>
      </w:r>
      <w:r w:rsidR="009008DB">
        <w:rPr>
          <w:rFonts w:asciiTheme="minorHAnsi" w:hAnsiTheme="minorHAnsi" w:cstheme="minorHAnsi"/>
          <w:color w:val="000000"/>
        </w:rPr>
        <w:t xml:space="preserve"> Organizations,</w:t>
      </w:r>
      <w:r w:rsidR="007A0C7A">
        <w:rPr>
          <w:rFonts w:asciiTheme="minorHAnsi" w:hAnsiTheme="minorHAnsi" w:cstheme="minorHAnsi"/>
          <w:color w:val="000000"/>
        </w:rPr>
        <w:t xml:space="preserve"> Prescription Drug Plans, </w:t>
      </w:r>
      <w:r w:rsidR="00DA036C">
        <w:rPr>
          <w:rFonts w:asciiTheme="minorHAnsi" w:hAnsiTheme="minorHAnsi" w:cstheme="minorHAnsi"/>
          <w:color w:val="000000"/>
        </w:rPr>
        <w:t xml:space="preserve">and </w:t>
      </w:r>
      <w:r w:rsidR="00012FA1">
        <w:rPr>
          <w:rFonts w:asciiTheme="minorHAnsi" w:hAnsiTheme="minorHAnsi" w:cstheme="minorHAnsi"/>
          <w:color w:val="000000"/>
        </w:rPr>
        <w:t>Cost Plans</w:t>
      </w:r>
    </w:p>
    <w:p w:rsidR="00462A20" w:rsidRDefault="00462A20" w:rsidP="00E4374E">
      <w:pPr>
        <w:autoSpaceDE w:val="0"/>
        <w:autoSpaceDN w:val="0"/>
        <w:adjustRightInd w:val="0"/>
        <w:spacing w:before="0" w:after="0"/>
        <w:rPr>
          <w:rFonts w:ascii="Calibri" w:hAnsi="Calibri"/>
          <w:color w:val="000000"/>
        </w:rPr>
      </w:pPr>
    </w:p>
    <w:p w:rsidR="00E4374E" w:rsidRPr="004C2F0F" w:rsidRDefault="00B9584B" w:rsidP="00E4374E">
      <w:pPr>
        <w:autoSpaceDE w:val="0"/>
        <w:autoSpaceDN w:val="0"/>
        <w:adjustRightInd w:val="0"/>
        <w:spacing w:before="0" w:after="0"/>
        <w:rPr>
          <w:rFonts w:ascii="Calibri" w:hAnsi="Calibri"/>
          <w:color w:val="000000"/>
        </w:rPr>
      </w:pPr>
      <w:r>
        <w:rPr>
          <w:rFonts w:ascii="Calibri" w:hAnsi="Calibri"/>
          <w:color w:val="000000"/>
        </w:rPr>
        <w:t xml:space="preserve">The </w:t>
      </w:r>
      <w:r w:rsidR="00593BC7" w:rsidRPr="007B1F78">
        <w:rPr>
          <w:rFonts w:ascii="Calibri" w:hAnsi="Calibri"/>
          <w:color w:val="000000"/>
        </w:rPr>
        <w:t>Centers for Medicare &amp; Medicaid Services (CMS)</w:t>
      </w:r>
      <w:r w:rsidR="00180CD7">
        <w:rPr>
          <w:rFonts w:ascii="Calibri" w:hAnsi="Calibri"/>
          <w:color w:val="000000"/>
        </w:rPr>
        <w:t xml:space="preserve"> is</w:t>
      </w:r>
      <w:r w:rsidR="00593BC7" w:rsidRPr="007B1F78">
        <w:rPr>
          <w:rFonts w:ascii="Calibri" w:hAnsi="Calibri"/>
          <w:color w:val="000000"/>
        </w:rPr>
        <w:t xml:space="preserve"> </w:t>
      </w:r>
      <w:r w:rsidR="00FB3EC3">
        <w:rPr>
          <w:rFonts w:ascii="Calibri" w:hAnsi="Calibri"/>
          <w:color w:val="000000"/>
        </w:rPr>
        <w:t>remind</w:t>
      </w:r>
      <w:r w:rsidR="00180CD7">
        <w:rPr>
          <w:rFonts w:ascii="Calibri" w:hAnsi="Calibri"/>
          <w:color w:val="000000"/>
        </w:rPr>
        <w:t>ing</w:t>
      </w:r>
      <w:r w:rsidR="00D91E7C">
        <w:rPr>
          <w:rFonts w:ascii="Calibri" w:hAnsi="Calibri"/>
          <w:color w:val="000000"/>
        </w:rPr>
        <w:t xml:space="preserve"> organizations of </w:t>
      </w:r>
      <w:r w:rsidR="00593BC7" w:rsidRPr="007B1F78">
        <w:rPr>
          <w:rFonts w:ascii="Calibri" w:hAnsi="Calibri"/>
          <w:color w:val="000000"/>
        </w:rPr>
        <w:t xml:space="preserve">critical </w:t>
      </w:r>
      <w:r w:rsidR="00D91E7C">
        <w:rPr>
          <w:rFonts w:ascii="Calibri" w:hAnsi="Calibri"/>
          <w:color w:val="000000"/>
        </w:rPr>
        <w:t xml:space="preserve">Medicare Part C and D requirements for the Annual Election Period (AEP) and </w:t>
      </w:r>
      <w:r w:rsidR="00593BC7" w:rsidRPr="007B1F78">
        <w:rPr>
          <w:rFonts w:ascii="Calibri" w:hAnsi="Calibri"/>
          <w:color w:val="000000"/>
        </w:rPr>
        <w:t xml:space="preserve">coverage beginning January 1, </w:t>
      </w:r>
      <w:r w:rsidR="00E41DA4" w:rsidRPr="007B1F78">
        <w:rPr>
          <w:rFonts w:ascii="Calibri" w:hAnsi="Calibri"/>
          <w:color w:val="000000"/>
        </w:rPr>
        <w:t>201</w:t>
      </w:r>
      <w:r w:rsidR="00E41DA4">
        <w:rPr>
          <w:rFonts w:ascii="Calibri" w:hAnsi="Calibri"/>
          <w:color w:val="000000"/>
        </w:rPr>
        <w:t>6</w:t>
      </w:r>
      <w:r w:rsidR="001249A4" w:rsidRPr="007B1F78">
        <w:rPr>
          <w:rFonts w:ascii="Calibri" w:hAnsi="Calibri"/>
          <w:color w:val="000000"/>
        </w:rPr>
        <w:t>.</w:t>
      </w:r>
      <w:r w:rsidR="00180CD7">
        <w:rPr>
          <w:rFonts w:ascii="Calibri" w:hAnsi="Calibri"/>
          <w:color w:val="000000"/>
        </w:rPr>
        <w:t xml:space="preserve"> </w:t>
      </w:r>
      <w:r w:rsidR="00D91E7C">
        <w:rPr>
          <w:rFonts w:ascii="Calibri" w:hAnsi="Calibri"/>
          <w:color w:val="000000"/>
        </w:rPr>
        <w:t xml:space="preserve"> </w:t>
      </w:r>
      <w:r w:rsidR="00D91E7C" w:rsidRPr="004C2F0F">
        <w:rPr>
          <w:rFonts w:ascii="Calibri" w:hAnsi="Calibri"/>
          <w:color w:val="000000"/>
        </w:rPr>
        <w:t>A separate 2016</w:t>
      </w:r>
      <w:r w:rsidR="00E4374E" w:rsidRPr="004C2F0F">
        <w:rPr>
          <w:rFonts w:ascii="Calibri" w:hAnsi="Calibri"/>
          <w:color w:val="000000"/>
        </w:rPr>
        <w:t xml:space="preserve"> Readiness Checklist for </w:t>
      </w:r>
      <w:r w:rsidR="00266C6B" w:rsidRPr="00266C6B">
        <w:rPr>
          <w:rFonts w:ascii="Calibri" w:hAnsi="Calibri"/>
          <w:color w:val="000000"/>
        </w:rPr>
        <w:t xml:space="preserve">operational </w:t>
      </w:r>
      <w:r w:rsidR="00E4374E" w:rsidRPr="004C2F0F">
        <w:rPr>
          <w:rFonts w:ascii="Calibri" w:hAnsi="Calibri"/>
          <w:color w:val="000000"/>
        </w:rPr>
        <w:t xml:space="preserve">Medicare-Medicaid Plans </w:t>
      </w:r>
      <w:r w:rsidR="00F47A14">
        <w:rPr>
          <w:rFonts w:ascii="Calibri" w:hAnsi="Calibri"/>
          <w:color w:val="000000"/>
        </w:rPr>
        <w:t xml:space="preserve">(MMPs) </w:t>
      </w:r>
      <w:r w:rsidR="00E4374E" w:rsidRPr="004C2F0F">
        <w:rPr>
          <w:rFonts w:ascii="Calibri" w:hAnsi="Calibri"/>
          <w:color w:val="000000"/>
        </w:rPr>
        <w:t xml:space="preserve">will be forthcoming. </w:t>
      </w:r>
    </w:p>
    <w:p w:rsidR="0079466D" w:rsidRPr="004C2F0F" w:rsidRDefault="00211F46" w:rsidP="00FA6597">
      <w:pPr>
        <w:autoSpaceDE w:val="0"/>
        <w:autoSpaceDN w:val="0"/>
        <w:adjustRightInd w:val="0"/>
        <w:rPr>
          <w:rFonts w:ascii="Calibri" w:hAnsi="Calibri"/>
          <w:i/>
          <w:color w:val="000000"/>
        </w:rPr>
      </w:pPr>
      <w:r w:rsidRPr="004C2F0F">
        <w:rPr>
          <w:rFonts w:ascii="Calibri" w:hAnsi="Calibri"/>
          <w:color w:val="000000"/>
        </w:rPr>
        <w:t>The C</w:t>
      </w:r>
      <w:r w:rsidR="00593BC7" w:rsidRPr="004C2F0F">
        <w:rPr>
          <w:rFonts w:ascii="Calibri" w:hAnsi="Calibri"/>
          <w:color w:val="000000"/>
        </w:rPr>
        <w:t xml:space="preserve">ontract </w:t>
      </w:r>
      <w:r w:rsidRPr="004C2F0F">
        <w:rPr>
          <w:rFonts w:ascii="Calibri" w:hAnsi="Calibri"/>
          <w:color w:val="000000"/>
        </w:rPr>
        <w:t>Y</w:t>
      </w:r>
      <w:r w:rsidR="00593BC7" w:rsidRPr="004C2F0F">
        <w:rPr>
          <w:rFonts w:ascii="Calibri" w:hAnsi="Calibri"/>
          <w:color w:val="000000"/>
        </w:rPr>
        <w:t>ear</w:t>
      </w:r>
      <w:r w:rsidR="00B4797C" w:rsidRPr="004C2F0F">
        <w:rPr>
          <w:rFonts w:ascii="Calibri" w:hAnsi="Calibri"/>
          <w:color w:val="000000"/>
        </w:rPr>
        <w:t xml:space="preserve"> (CY)</w:t>
      </w:r>
      <w:r w:rsidRPr="004C2F0F">
        <w:rPr>
          <w:rFonts w:ascii="Calibri" w:hAnsi="Calibri"/>
          <w:color w:val="000000"/>
        </w:rPr>
        <w:t xml:space="preserve"> 201</w:t>
      </w:r>
      <w:r w:rsidR="00FA6597" w:rsidRPr="004C2F0F">
        <w:rPr>
          <w:rFonts w:ascii="Calibri" w:hAnsi="Calibri"/>
          <w:color w:val="000000"/>
        </w:rPr>
        <w:t>6</w:t>
      </w:r>
      <w:r w:rsidRPr="004C2F0F">
        <w:rPr>
          <w:rFonts w:ascii="Calibri" w:hAnsi="Calibri"/>
          <w:color w:val="000000"/>
        </w:rPr>
        <w:t xml:space="preserve"> Readiness Checklist summarizes key operational requirements as established in statutes, regulations, manual chapters, Health Plan Management System (HPMS) memos, applications</w:t>
      </w:r>
      <w:r w:rsidR="001759DC" w:rsidRPr="004C2F0F">
        <w:rPr>
          <w:rFonts w:ascii="Calibri" w:hAnsi="Calibri"/>
          <w:color w:val="000000"/>
        </w:rPr>
        <w:t>,</w:t>
      </w:r>
      <w:r w:rsidRPr="004C2F0F">
        <w:rPr>
          <w:rFonts w:ascii="Calibri" w:hAnsi="Calibri"/>
          <w:color w:val="000000"/>
        </w:rPr>
        <w:t xml:space="preserve"> and other advisory materials. </w:t>
      </w:r>
    </w:p>
    <w:p w:rsidR="00211F46" w:rsidRPr="004C2F0F" w:rsidRDefault="00180CD7" w:rsidP="00211F46">
      <w:pPr>
        <w:autoSpaceDE w:val="0"/>
        <w:autoSpaceDN w:val="0"/>
        <w:adjustRightInd w:val="0"/>
        <w:rPr>
          <w:rFonts w:ascii="Calibri" w:hAnsi="Calibri"/>
          <w:color w:val="000000"/>
        </w:rPr>
      </w:pPr>
      <w:r w:rsidRPr="004C2F0F">
        <w:rPr>
          <w:rFonts w:ascii="Calibri" w:hAnsi="Calibri"/>
          <w:color w:val="000000"/>
        </w:rPr>
        <w:t>Y</w:t>
      </w:r>
      <w:r w:rsidR="00211F46" w:rsidRPr="004C2F0F">
        <w:rPr>
          <w:rFonts w:ascii="Calibri" w:hAnsi="Calibri"/>
          <w:color w:val="000000"/>
        </w:rPr>
        <w:t>our organization should review this checklist carefully and take the necessary measures</w:t>
      </w:r>
      <w:r w:rsidR="00596042">
        <w:rPr>
          <w:rFonts w:ascii="Calibri" w:hAnsi="Calibri"/>
          <w:color w:val="000000"/>
        </w:rPr>
        <w:t xml:space="preserve"> to</w:t>
      </w:r>
      <w:r w:rsidR="00FA6597" w:rsidRPr="004C2F0F">
        <w:rPr>
          <w:rFonts w:ascii="Calibri" w:hAnsi="Calibri"/>
          <w:color w:val="000000"/>
        </w:rPr>
        <w:t xml:space="preserve"> fulfill these</w:t>
      </w:r>
      <w:r w:rsidR="00211F46" w:rsidRPr="004C2F0F">
        <w:rPr>
          <w:rFonts w:ascii="Calibri" w:hAnsi="Calibri"/>
          <w:color w:val="000000"/>
        </w:rPr>
        <w:t xml:space="preserve"> key requirements for</w:t>
      </w:r>
      <w:r w:rsidR="001759DC" w:rsidRPr="004C2F0F">
        <w:rPr>
          <w:rFonts w:ascii="Calibri" w:hAnsi="Calibri"/>
          <w:color w:val="000000"/>
        </w:rPr>
        <w:t xml:space="preserve"> </w:t>
      </w:r>
      <w:r w:rsidR="00596042">
        <w:rPr>
          <w:rFonts w:ascii="Calibri" w:hAnsi="Calibri"/>
          <w:color w:val="000000"/>
        </w:rPr>
        <w:t>CY</w:t>
      </w:r>
      <w:r w:rsidR="00211F46" w:rsidRPr="004C2F0F">
        <w:rPr>
          <w:rFonts w:ascii="Calibri" w:hAnsi="Calibri"/>
          <w:color w:val="000000"/>
        </w:rPr>
        <w:t xml:space="preserve"> 201</w:t>
      </w:r>
      <w:r w:rsidR="00FA6597" w:rsidRPr="004C2F0F">
        <w:rPr>
          <w:rFonts w:ascii="Calibri" w:hAnsi="Calibri"/>
          <w:color w:val="000000"/>
        </w:rPr>
        <w:t>6</w:t>
      </w:r>
      <w:r w:rsidR="00211F46" w:rsidRPr="004C2F0F">
        <w:rPr>
          <w:rFonts w:ascii="Calibri" w:hAnsi="Calibri"/>
          <w:color w:val="000000"/>
        </w:rPr>
        <w:t xml:space="preserve">. </w:t>
      </w:r>
      <w:r w:rsidR="00B4451C" w:rsidRPr="004C2F0F">
        <w:rPr>
          <w:rFonts w:ascii="Calibri" w:hAnsi="Calibri"/>
          <w:color w:val="000000"/>
        </w:rPr>
        <w:t>T</w:t>
      </w:r>
      <w:r w:rsidR="00211F46" w:rsidRPr="004C2F0F">
        <w:rPr>
          <w:rFonts w:ascii="Calibri" w:hAnsi="Calibri"/>
          <w:color w:val="000000"/>
        </w:rPr>
        <w:t xml:space="preserve">he Readiness Checklist is </w:t>
      </w:r>
      <w:r w:rsidR="00B4797C" w:rsidRPr="004C2F0F">
        <w:rPr>
          <w:rFonts w:ascii="Calibri" w:hAnsi="Calibri"/>
          <w:color w:val="000000"/>
        </w:rPr>
        <w:t>not</w:t>
      </w:r>
      <w:r w:rsidR="00211F46" w:rsidRPr="004C2F0F">
        <w:rPr>
          <w:rFonts w:ascii="Calibri" w:hAnsi="Calibri"/>
          <w:color w:val="000000"/>
        </w:rPr>
        <w:t xml:space="preserve"> an exhaustive list of all </w:t>
      </w:r>
      <w:r w:rsidR="007B5D3C" w:rsidRPr="004C2F0F">
        <w:rPr>
          <w:rFonts w:ascii="Calibri" w:hAnsi="Calibri"/>
          <w:color w:val="000000"/>
        </w:rPr>
        <w:t>Medicare Advantage (</w:t>
      </w:r>
      <w:r w:rsidR="00211F46" w:rsidRPr="004C2F0F">
        <w:rPr>
          <w:rFonts w:ascii="Calibri" w:hAnsi="Calibri"/>
          <w:color w:val="000000"/>
        </w:rPr>
        <w:t>MA</w:t>
      </w:r>
      <w:r w:rsidR="007B5D3C" w:rsidRPr="004C2F0F">
        <w:rPr>
          <w:rFonts w:ascii="Calibri" w:hAnsi="Calibri"/>
          <w:color w:val="000000"/>
        </w:rPr>
        <w:t>)</w:t>
      </w:r>
      <w:r w:rsidR="00B4797C" w:rsidRPr="004C2F0F">
        <w:rPr>
          <w:rFonts w:ascii="Calibri" w:hAnsi="Calibri"/>
          <w:color w:val="000000"/>
        </w:rPr>
        <w:t>,</w:t>
      </w:r>
      <w:r w:rsidR="00211F46" w:rsidRPr="004C2F0F">
        <w:rPr>
          <w:rFonts w:ascii="Calibri" w:hAnsi="Calibri"/>
          <w:color w:val="000000"/>
        </w:rPr>
        <w:t xml:space="preserve"> </w:t>
      </w:r>
      <w:r w:rsidR="007B5D3C" w:rsidRPr="004C2F0F">
        <w:rPr>
          <w:rFonts w:ascii="Calibri" w:hAnsi="Calibri"/>
          <w:color w:val="000000"/>
        </w:rPr>
        <w:t>Prescription Drug Plan (PDP)</w:t>
      </w:r>
      <w:r w:rsidR="001759DC" w:rsidRPr="004C2F0F">
        <w:rPr>
          <w:rFonts w:ascii="Calibri" w:hAnsi="Calibri"/>
          <w:color w:val="000000"/>
        </w:rPr>
        <w:t>,</w:t>
      </w:r>
      <w:r w:rsidR="00B132DC" w:rsidRPr="004C2F0F">
        <w:rPr>
          <w:rFonts w:ascii="Calibri" w:hAnsi="Calibri"/>
          <w:color w:val="000000"/>
        </w:rPr>
        <w:t xml:space="preserve"> </w:t>
      </w:r>
      <w:r w:rsidR="00635D9F">
        <w:rPr>
          <w:rFonts w:ascii="Calibri" w:hAnsi="Calibri"/>
          <w:color w:val="000000"/>
        </w:rPr>
        <w:t xml:space="preserve">and </w:t>
      </w:r>
      <w:r w:rsidR="00B4797C" w:rsidRPr="004C2F0F">
        <w:rPr>
          <w:rFonts w:ascii="Calibri" w:hAnsi="Calibri"/>
          <w:color w:val="000000"/>
        </w:rPr>
        <w:t>Cost Plan</w:t>
      </w:r>
      <w:r w:rsidR="00211F46" w:rsidRPr="004C2F0F">
        <w:rPr>
          <w:rFonts w:ascii="Calibri" w:hAnsi="Calibri"/>
          <w:color w:val="000000"/>
        </w:rPr>
        <w:t xml:space="preserve"> requirements.</w:t>
      </w:r>
    </w:p>
    <w:p w:rsidR="00211F46" w:rsidRPr="007B1F78" w:rsidRDefault="00211F46" w:rsidP="00211F46">
      <w:pPr>
        <w:autoSpaceDE w:val="0"/>
        <w:autoSpaceDN w:val="0"/>
        <w:adjustRightInd w:val="0"/>
        <w:rPr>
          <w:rFonts w:ascii="Calibri" w:hAnsi="Calibri"/>
          <w:color w:val="000000"/>
        </w:rPr>
      </w:pPr>
      <w:r w:rsidRPr="004C2F0F">
        <w:rPr>
          <w:rFonts w:ascii="Calibri" w:hAnsi="Calibri"/>
          <w:color w:val="000000"/>
        </w:rPr>
        <w:lastRenderedPageBreak/>
        <w:t xml:space="preserve">Should you identify areas where your organization needs assistance or </w:t>
      </w:r>
      <w:r w:rsidR="001759DC" w:rsidRPr="004C2F0F">
        <w:rPr>
          <w:rFonts w:ascii="Calibri" w:hAnsi="Calibri"/>
          <w:color w:val="000000"/>
        </w:rPr>
        <w:t xml:space="preserve">is </w:t>
      </w:r>
      <w:r w:rsidRPr="004C2F0F">
        <w:rPr>
          <w:rFonts w:ascii="Calibri" w:hAnsi="Calibri"/>
          <w:color w:val="000000"/>
        </w:rPr>
        <w:t xml:space="preserve">not/will not be in compliance, your organization must report </w:t>
      </w:r>
      <w:r w:rsidR="00596042">
        <w:rPr>
          <w:rFonts w:ascii="Calibri" w:hAnsi="Calibri"/>
          <w:color w:val="000000"/>
        </w:rPr>
        <w:t>those</w:t>
      </w:r>
      <w:r w:rsidR="00596042" w:rsidRPr="004C2F0F">
        <w:rPr>
          <w:rFonts w:ascii="Calibri" w:hAnsi="Calibri"/>
          <w:color w:val="000000"/>
        </w:rPr>
        <w:t xml:space="preserve"> </w:t>
      </w:r>
      <w:r w:rsidRPr="004C2F0F">
        <w:rPr>
          <w:rFonts w:ascii="Calibri" w:hAnsi="Calibri"/>
          <w:color w:val="000000"/>
        </w:rPr>
        <w:t>problems to your Accoun</w:t>
      </w:r>
      <w:r w:rsidR="00180CD7" w:rsidRPr="004C2F0F">
        <w:rPr>
          <w:rFonts w:ascii="Calibri" w:hAnsi="Calibri"/>
          <w:color w:val="000000"/>
        </w:rPr>
        <w:t xml:space="preserve">t Manager directly </w:t>
      </w:r>
      <w:r w:rsidR="00B4451C" w:rsidRPr="004C2F0F">
        <w:rPr>
          <w:rFonts w:ascii="Calibri" w:hAnsi="Calibri"/>
          <w:color w:val="000000"/>
        </w:rPr>
        <w:t>by email</w:t>
      </w:r>
      <w:r w:rsidR="00180CD7" w:rsidRPr="004C2F0F">
        <w:rPr>
          <w:rFonts w:ascii="Calibri" w:hAnsi="Calibri"/>
          <w:color w:val="000000"/>
        </w:rPr>
        <w:t xml:space="preserve"> in a timely manner. </w:t>
      </w:r>
    </w:p>
    <w:p w:rsidR="00C105F9" w:rsidRPr="00EC5640" w:rsidRDefault="00211F46" w:rsidP="00EC5640">
      <w:pPr>
        <w:rPr>
          <w:rFonts w:asciiTheme="minorHAnsi" w:hAnsiTheme="minorHAnsi" w:cstheme="minorHAnsi"/>
          <w:b/>
        </w:rPr>
      </w:pPr>
      <w:r w:rsidRPr="00EC5640">
        <w:rPr>
          <w:rFonts w:asciiTheme="minorHAnsi" w:hAnsiTheme="minorHAnsi" w:cstheme="minorHAnsi"/>
        </w:rPr>
        <w:t xml:space="preserve">If you need additional </w:t>
      </w:r>
      <w:r w:rsidR="000B076F" w:rsidRPr="00EC5640">
        <w:rPr>
          <w:rFonts w:asciiTheme="minorHAnsi" w:hAnsiTheme="minorHAnsi" w:cstheme="minorHAnsi"/>
        </w:rPr>
        <w:t xml:space="preserve">information </w:t>
      </w:r>
      <w:r w:rsidRPr="00EC5640">
        <w:rPr>
          <w:rFonts w:asciiTheme="minorHAnsi" w:hAnsiTheme="minorHAnsi" w:cstheme="minorHAnsi"/>
        </w:rPr>
        <w:t xml:space="preserve">regarding requirements listed in the checklist, please refer </w:t>
      </w:r>
      <w:r w:rsidR="00FA6597">
        <w:rPr>
          <w:rFonts w:asciiTheme="minorHAnsi" w:hAnsiTheme="minorHAnsi" w:cstheme="minorHAnsi"/>
        </w:rPr>
        <w:t>to the appropriate CMS guidance</w:t>
      </w:r>
      <w:r w:rsidRPr="00EC5640">
        <w:rPr>
          <w:rFonts w:asciiTheme="minorHAnsi" w:hAnsiTheme="minorHAnsi" w:cstheme="minorHAnsi"/>
        </w:rPr>
        <w:t xml:space="preserve"> or contact your </w:t>
      </w:r>
      <w:r w:rsidR="001759DC" w:rsidRPr="00EC5640">
        <w:rPr>
          <w:rFonts w:asciiTheme="minorHAnsi" w:hAnsiTheme="minorHAnsi" w:cstheme="minorHAnsi"/>
        </w:rPr>
        <w:t>A</w:t>
      </w:r>
      <w:r w:rsidRPr="00EC5640">
        <w:rPr>
          <w:rFonts w:asciiTheme="minorHAnsi" w:hAnsiTheme="minorHAnsi" w:cstheme="minorHAnsi"/>
        </w:rPr>
        <w:t xml:space="preserve">ccount </w:t>
      </w:r>
      <w:r w:rsidR="001759DC" w:rsidRPr="00EC5640">
        <w:rPr>
          <w:rFonts w:asciiTheme="minorHAnsi" w:hAnsiTheme="minorHAnsi" w:cstheme="minorHAnsi"/>
        </w:rPr>
        <w:t>M</w:t>
      </w:r>
      <w:r w:rsidRPr="00EC5640">
        <w:rPr>
          <w:rFonts w:asciiTheme="minorHAnsi" w:hAnsiTheme="minorHAnsi" w:cstheme="minorHAnsi"/>
        </w:rPr>
        <w:t xml:space="preserve">anager. </w:t>
      </w:r>
      <w:bookmarkStart w:id="1" w:name="_Toc303263459"/>
      <w:bookmarkStart w:id="2" w:name="_Toc303263516"/>
      <w:bookmarkStart w:id="3" w:name="_Toc303265329"/>
      <w:bookmarkStart w:id="4" w:name="_Toc303856176"/>
      <w:bookmarkStart w:id="5" w:name="_Toc334541220"/>
      <w:bookmarkStart w:id="6" w:name="_Toc367979131"/>
      <w:bookmarkStart w:id="7" w:name="_Toc368045923"/>
      <w:bookmarkStart w:id="8" w:name="_Toc368046077"/>
      <w:bookmarkStart w:id="9" w:name="_Toc368046224"/>
    </w:p>
    <w:p w:rsidR="00735B63" w:rsidRDefault="00735B63">
      <w:pPr>
        <w:spacing w:before="0" w:after="0"/>
        <w:rPr>
          <w:rFonts w:asciiTheme="minorHAnsi" w:hAnsiTheme="minorHAnsi" w:cstheme="minorHAnsi"/>
          <w:b/>
          <w:color w:val="000000" w:themeColor="text1"/>
          <w:sz w:val="32"/>
          <w:szCs w:val="32"/>
        </w:rPr>
      </w:pPr>
      <w:r>
        <w:rPr>
          <w:rFonts w:asciiTheme="minorHAnsi" w:hAnsiTheme="minorHAnsi" w:cstheme="minorHAnsi"/>
          <w:b/>
          <w:color w:val="000000" w:themeColor="text1"/>
          <w:sz w:val="32"/>
          <w:szCs w:val="32"/>
        </w:rPr>
        <w:br w:type="page"/>
      </w:r>
    </w:p>
    <w:p w:rsidR="00ED1AA3" w:rsidRPr="00EC5640" w:rsidRDefault="00121FE6" w:rsidP="00EC5640">
      <w:pPr>
        <w:jc w:val="center"/>
        <w:rPr>
          <w:rFonts w:asciiTheme="minorHAnsi" w:hAnsiTheme="minorHAnsi" w:cstheme="minorHAnsi"/>
          <w:b/>
          <w:color w:val="000000" w:themeColor="text1"/>
          <w:sz w:val="32"/>
          <w:szCs w:val="32"/>
        </w:rPr>
      </w:pPr>
      <w:r w:rsidRPr="00EC5640">
        <w:rPr>
          <w:rFonts w:asciiTheme="minorHAnsi" w:hAnsiTheme="minorHAnsi" w:cstheme="minorHAnsi"/>
          <w:b/>
          <w:color w:val="000000" w:themeColor="text1"/>
          <w:sz w:val="32"/>
          <w:szCs w:val="32"/>
        </w:rPr>
        <w:lastRenderedPageBreak/>
        <w:t>CY 201</w:t>
      </w:r>
      <w:r w:rsidR="00FA6597">
        <w:rPr>
          <w:rFonts w:asciiTheme="minorHAnsi" w:hAnsiTheme="minorHAnsi" w:cstheme="minorHAnsi"/>
          <w:b/>
          <w:color w:val="000000" w:themeColor="text1"/>
          <w:sz w:val="32"/>
          <w:szCs w:val="32"/>
        </w:rPr>
        <w:t>6</w:t>
      </w:r>
      <w:r w:rsidRPr="00EC5640">
        <w:rPr>
          <w:rFonts w:asciiTheme="minorHAnsi" w:hAnsiTheme="minorHAnsi" w:cstheme="minorHAnsi"/>
          <w:b/>
          <w:color w:val="000000" w:themeColor="text1"/>
          <w:sz w:val="32"/>
          <w:szCs w:val="32"/>
        </w:rPr>
        <w:t xml:space="preserve"> Medicare Advantage Organization</w:t>
      </w:r>
      <w:r w:rsidR="00DA1B3D" w:rsidRPr="00EC5640">
        <w:rPr>
          <w:rFonts w:asciiTheme="minorHAnsi" w:hAnsiTheme="minorHAnsi" w:cstheme="minorHAnsi"/>
          <w:b/>
          <w:color w:val="000000" w:themeColor="text1"/>
          <w:sz w:val="32"/>
          <w:szCs w:val="32"/>
        </w:rPr>
        <w:t>,</w:t>
      </w:r>
      <w:r w:rsidRPr="00EC5640">
        <w:rPr>
          <w:rFonts w:asciiTheme="minorHAnsi" w:hAnsiTheme="minorHAnsi" w:cstheme="minorHAnsi"/>
          <w:b/>
          <w:color w:val="000000" w:themeColor="text1"/>
          <w:sz w:val="32"/>
          <w:szCs w:val="32"/>
        </w:rPr>
        <w:t xml:space="preserve"> Prescription Drug Plan</w:t>
      </w:r>
      <w:r w:rsidR="001759DC" w:rsidRPr="00EC5640">
        <w:rPr>
          <w:rFonts w:asciiTheme="minorHAnsi" w:hAnsiTheme="minorHAnsi" w:cstheme="minorHAnsi"/>
          <w:b/>
          <w:color w:val="000000" w:themeColor="text1"/>
          <w:sz w:val="32"/>
          <w:szCs w:val="32"/>
        </w:rPr>
        <w:t>,</w:t>
      </w:r>
      <w:r w:rsidR="00DA1B3D" w:rsidRPr="00EC5640">
        <w:rPr>
          <w:rFonts w:asciiTheme="minorHAnsi" w:hAnsiTheme="minorHAnsi" w:cstheme="minorHAnsi"/>
          <w:b/>
          <w:color w:val="000000" w:themeColor="text1"/>
          <w:sz w:val="32"/>
          <w:szCs w:val="32"/>
        </w:rPr>
        <w:t xml:space="preserve"> </w:t>
      </w:r>
      <w:r w:rsidR="00DA036C">
        <w:rPr>
          <w:rFonts w:asciiTheme="minorHAnsi" w:hAnsiTheme="minorHAnsi" w:cstheme="minorHAnsi"/>
          <w:b/>
          <w:color w:val="000000" w:themeColor="text1"/>
          <w:sz w:val="32"/>
          <w:szCs w:val="32"/>
        </w:rPr>
        <w:t xml:space="preserve">and </w:t>
      </w:r>
      <w:r w:rsidR="00DA1B3D" w:rsidRPr="00EC5640">
        <w:rPr>
          <w:rFonts w:asciiTheme="minorHAnsi" w:hAnsiTheme="minorHAnsi" w:cstheme="minorHAnsi"/>
          <w:b/>
          <w:color w:val="000000" w:themeColor="text1"/>
          <w:sz w:val="32"/>
          <w:szCs w:val="32"/>
        </w:rPr>
        <w:t>Cost Plan</w:t>
      </w:r>
      <w:r w:rsidRPr="00EC5640">
        <w:rPr>
          <w:rFonts w:asciiTheme="minorHAnsi" w:hAnsiTheme="minorHAnsi" w:cstheme="minorHAnsi"/>
          <w:b/>
          <w:color w:val="000000" w:themeColor="text1"/>
          <w:sz w:val="32"/>
          <w:szCs w:val="32"/>
        </w:rPr>
        <w:t xml:space="preserve"> Readiness Checklist</w:t>
      </w:r>
      <w:bookmarkEnd w:id="1"/>
      <w:bookmarkEnd w:id="2"/>
      <w:bookmarkEnd w:id="3"/>
      <w:bookmarkEnd w:id="4"/>
      <w:bookmarkEnd w:id="5"/>
      <w:bookmarkEnd w:id="6"/>
      <w:bookmarkEnd w:id="7"/>
      <w:bookmarkEnd w:id="8"/>
      <w:bookmarkEnd w:id="9"/>
    </w:p>
    <w:p w:rsidR="00F0713B" w:rsidRDefault="00F0713B" w:rsidP="00A2421A">
      <w:pPr>
        <w:spacing w:before="0" w:after="0"/>
      </w:pPr>
    </w:p>
    <w:p w:rsidR="00A2421A" w:rsidRDefault="00A2421A" w:rsidP="00A2421A">
      <w:pPr>
        <w:spacing w:before="0" w:after="0"/>
        <w:rPr>
          <w:rFonts w:ascii="Calibri" w:hAnsi="Calibri"/>
          <w:b/>
          <w:sz w:val="32"/>
          <w:szCs w:val="32"/>
        </w:rPr>
      </w:pPr>
      <w:r w:rsidRPr="007B1F78">
        <w:rPr>
          <w:rFonts w:ascii="Calibri" w:hAnsi="Calibri"/>
          <w:b/>
          <w:sz w:val="32"/>
          <w:szCs w:val="32"/>
        </w:rPr>
        <w:t>Table of Contents</w:t>
      </w:r>
    </w:p>
    <w:p w:rsidR="00104F2F" w:rsidRDefault="008D7D0F">
      <w:pPr>
        <w:pStyle w:val="TOC1"/>
        <w:tabs>
          <w:tab w:val="right" w:leader="dot" w:pos="9350"/>
        </w:tabs>
        <w:rPr>
          <w:rFonts w:asciiTheme="minorHAnsi" w:eastAsiaTheme="minorEastAsia" w:hAnsiTheme="minorHAnsi" w:cstheme="minorBidi"/>
          <w:noProof/>
          <w:sz w:val="22"/>
          <w:szCs w:val="22"/>
        </w:rPr>
      </w:pPr>
      <w:r w:rsidRPr="007B1F78">
        <w:rPr>
          <w:rFonts w:asciiTheme="minorHAnsi" w:hAnsiTheme="minorHAnsi"/>
          <w:b/>
        </w:rPr>
        <w:fldChar w:fldCharType="begin"/>
      </w:r>
      <w:r w:rsidR="00A2421A" w:rsidRPr="007B1F78">
        <w:rPr>
          <w:rFonts w:asciiTheme="minorHAnsi" w:hAnsiTheme="minorHAnsi"/>
          <w:b/>
        </w:rPr>
        <w:instrText xml:space="preserve"> TOC \o "1-3" \h \z \u </w:instrText>
      </w:r>
      <w:r w:rsidRPr="007B1F78">
        <w:rPr>
          <w:rFonts w:asciiTheme="minorHAnsi" w:hAnsiTheme="minorHAnsi"/>
          <w:b/>
        </w:rPr>
        <w:fldChar w:fldCharType="separate"/>
      </w:r>
      <w:hyperlink w:anchor="_Toc431964667" w:history="1">
        <w:r w:rsidR="00104F2F" w:rsidRPr="00424C98">
          <w:rPr>
            <w:rStyle w:val="Hyperlink"/>
            <w:rFonts w:ascii="Calibri" w:hAnsi="Calibri"/>
            <w:noProof/>
          </w:rPr>
          <w:t>A. Systems, Data, &amp; Connectivity</w:t>
        </w:r>
        <w:r w:rsidR="00104F2F">
          <w:rPr>
            <w:noProof/>
            <w:webHidden/>
          </w:rPr>
          <w:tab/>
        </w:r>
        <w:r w:rsidR="00104F2F">
          <w:rPr>
            <w:noProof/>
            <w:webHidden/>
          </w:rPr>
          <w:fldChar w:fldCharType="begin"/>
        </w:r>
        <w:r w:rsidR="00104F2F">
          <w:rPr>
            <w:noProof/>
            <w:webHidden/>
          </w:rPr>
          <w:instrText xml:space="preserve"> PAGEREF _Toc431964667 \h </w:instrText>
        </w:r>
        <w:r w:rsidR="00104F2F">
          <w:rPr>
            <w:noProof/>
            <w:webHidden/>
          </w:rPr>
        </w:r>
        <w:r w:rsidR="00104F2F">
          <w:rPr>
            <w:noProof/>
            <w:webHidden/>
          </w:rPr>
          <w:fldChar w:fldCharType="separate"/>
        </w:r>
        <w:r w:rsidR="00B577F7">
          <w:rPr>
            <w:noProof/>
            <w:webHidden/>
          </w:rPr>
          <w:t>3</w:t>
        </w:r>
        <w:r w:rsidR="00104F2F">
          <w:rPr>
            <w:noProof/>
            <w:webHidden/>
          </w:rPr>
          <w:fldChar w:fldCharType="end"/>
        </w:r>
      </w:hyperlink>
    </w:p>
    <w:p w:rsidR="00104F2F" w:rsidRDefault="00BA2F31">
      <w:pPr>
        <w:pStyle w:val="TOC1"/>
        <w:tabs>
          <w:tab w:val="right" w:leader="dot" w:pos="9350"/>
        </w:tabs>
        <w:rPr>
          <w:rFonts w:asciiTheme="minorHAnsi" w:eastAsiaTheme="minorEastAsia" w:hAnsiTheme="minorHAnsi" w:cstheme="minorBidi"/>
          <w:noProof/>
          <w:sz w:val="22"/>
          <w:szCs w:val="22"/>
        </w:rPr>
      </w:pPr>
      <w:hyperlink w:anchor="_Toc431964668" w:history="1">
        <w:r w:rsidR="00104F2F" w:rsidRPr="00424C98">
          <w:rPr>
            <w:rStyle w:val="Hyperlink"/>
            <w:rFonts w:ascii="Calibri" w:hAnsi="Calibri"/>
            <w:noProof/>
          </w:rPr>
          <w:t>B. Reporting</w:t>
        </w:r>
        <w:r w:rsidR="00104F2F">
          <w:rPr>
            <w:noProof/>
            <w:webHidden/>
          </w:rPr>
          <w:tab/>
        </w:r>
        <w:r w:rsidR="00104F2F">
          <w:rPr>
            <w:noProof/>
            <w:webHidden/>
          </w:rPr>
          <w:fldChar w:fldCharType="begin"/>
        </w:r>
        <w:r w:rsidR="00104F2F">
          <w:rPr>
            <w:noProof/>
            <w:webHidden/>
          </w:rPr>
          <w:instrText xml:space="preserve"> PAGEREF _Toc431964668 \h </w:instrText>
        </w:r>
        <w:r w:rsidR="00104F2F">
          <w:rPr>
            <w:noProof/>
            <w:webHidden/>
          </w:rPr>
        </w:r>
        <w:r w:rsidR="00104F2F">
          <w:rPr>
            <w:noProof/>
            <w:webHidden/>
          </w:rPr>
          <w:fldChar w:fldCharType="separate"/>
        </w:r>
        <w:r w:rsidR="00B577F7">
          <w:rPr>
            <w:noProof/>
            <w:webHidden/>
          </w:rPr>
          <w:t>7</w:t>
        </w:r>
        <w:r w:rsidR="00104F2F">
          <w:rPr>
            <w:noProof/>
            <w:webHidden/>
          </w:rPr>
          <w:fldChar w:fldCharType="end"/>
        </w:r>
      </w:hyperlink>
    </w:p>
    <w:p w:rsidR="00104F2F" w:rsidRDefault="00BA2F31">
      <w:pPr>
        <w:pStyle w:val="TOC1"/>
        <w:tabs>
          <w:tab w:val="right" w:leader="dot" w:pos="9350"/>
        </w:tabs>
        <w:rPr>
          <w:rFonts w:asciiTheme="minorHAnsi" w:eastAsiaTheme="minorEastAsia" w:hAnsiTheme="minorHAnsi" w:cstheme="minorBidi"/>
          <w:noProof/>
          <w:sz w:val="22"/>
          <w:szCs w:val="22"/>
        </w:rPr>
      </w:pPr>
      <w:hyperlink w:anchor="_Toc431964669" w:history="1">
        <w:r w:rsidR="00104F2F" w:rsidRPr="00424C98">
          <w:rPr>
            <w:rStyle w:val="Hyperlink"/>
            <w:rFonts w:ascii="Calibri" w:hAnsi="Calibri"/>
            <w:noProof/>
          </w:rPr>
          <w:t>C. Contracting, Subcontractor Provisions, and Oversight</w:t>
        </w:r>
        <w:r w:rsidR="00104F2F">
          <w:rPr>
            <w:noProof/>
            <w:webHidden/>
          </w:rPr>
          <w:tab/>
        </w:r>
        <w:r w:rsidR="00104F2F">
          <w:rPr>
            <w:noProof/>
            <w:webHidden/>
          </w:rPr>
          <w:fldChar w:fldCharType="begin"/>
        </w:r>
        <w:r w:rsidR="00104F2F">
          <w:rPr>
            <w:noProof/>
            <w:webHidden/>
          </w:rPr>
          <w:instrText xml:space="preserve"> PAGEREF _Toc431964669 \h </w:instrText>
        </w:r>
        <w:r w:rsidR="00104F2F">
          <w:rPr>
            <w:noProof/>
            <w:webHidden/>
          </w:rPr>
        </w:r>
        <w:r w:rsidR="00104F2F">
          <w:rPr>
            <w:noProof/>
            <w:webHidden/>
          </w:rPr>
          <w:fldChar w:fldCharType="separate"/>
        </w:r>
        <w:r w:rsidR="00B577F7">
          <w:rPr>
            <w:noProof/>
            <w:webHidden/>
          </w:rPr>
          <w:t>8</w:t>
        </w:r>
        <w:r w:rsidR="00104F2F">
          <w:rPr>
            <w:noProof/>
            <w:webHidden/>
          </w:rPr>
          <w:fldChar w:fldCharType="end"/>
        </w:r>
      </w:hyperlink>
    </w:p>
    <w:p w:rsidR="00104F2F" w:rsidRDefault="00BA2F31">
      <w:pPr>
        <w:pStyle w:val="TOC1"/>
        <w:tabs>
          <w:tab w:val="right" w:leader="dot" w:pos="9350"/>
        </w:tabs>
        <w:rPr>
          <w:rFonts w:asciiTheme="minorHAnsi" w:eastAsiaTheme="minorEastAsia" w:hAnsiTheme="minorHAnsi" w:cstheme="minorBidi"/>
          <w:noProof/>
          <w:sz w:val="22"/>
          <w:szCs w:val="22"/>
        </w:rPr>
      </w:pPr>
      <w:hyperlink w:anchor="_Toc431964670" w:history="1">
        <w:r w:rsidR="00104F2F" w:rsidRPr="00424C98">
          <w:rPr>
            <w:rStyle w:val="Hyperlink"/>
            <w:rFonts w:ascii="Calibri" w:hAnsi="Calibri"/>
            <w:noProof/>
          </w:rPr>
          <w:t>D. Customer Service</w:t>
        </w:r>
        <w:r w:rsidR="00104F2F">
          <w:rPr>
            <w:noProof/>
            <w:webHidden/>
          </w:rPr>
          <w:tab/>
        </w:r>
        <w:r w:rsidR="00104F2F">
          <w:rPr>
            <w:noProof/>
            <w:webHidden/>
          </w:rPr>
          <w:fldChar w:fldCharType="begin"/>
        </w:r>
        <w:r w:rsidR="00104F2F">
          <w:rPr>
            <w:noProof/>
            <w:webHidden/>
          </w:rPr>
          <w:instrText xml:space="preserve"> PAGEREF _Toc431964670 \h </w:instrText>
        </w:r>
        <w:r w:rsidR="00104F2F">
          <w:rPr>
            <w:noProof/>
            <w:webHidden/>
          </w:rPr>
        </w:r>
        <w:r w:rsidR="00104F2F">
          <w:rPr>
            <w:noProof/>
            <w:webHidden/>
          </w:rPr>
          <w:fldChar w:fldCharType="separate"/>
        </w:r>
        <w:r w:rsidR="00B577F7">
          <w:rPr>
            <w:noProof/>
            <w:webHidden/>
          </w:rPr>
          <w:t>9</w:t>
        </w:r>
        <w:r w:rsidR="00104F2F">
          <w:rPr>
            <w:noProof/>
            <w:webHidden/>
          </w:rPr>
          <w:fldChar w:fldCharType="end"/>
        </w:r>
      </w:hyperlink>
    </w:p>
    <w:p w:rsidR="00104F2F" w:rsidRDefault="00BA2F31">
      <w:pPr>
        <w:pStyle w:val="TOC1"/>
        <w:tabs>
          <w:tab w:val="right" w:leader="dot" w:pos="9350"/>
        </w:tabs>
        <w:rPr>
          <w:rFonts w:asciiTheme="minorHAnsi" w:eastAsiaTheme="minorEastAsia" w:hAnsiTheme="minorHAnsi" w:cstheme="minorBidi"/>
          <w:noProof/>
          <w:sz w:val="22"/>
          <w:szCs w:val="22"/>
        </w:rPr>
      </w:pPr>
      <w:hyperlink w:anchor="_Toc431964671" w:history="1">
        <w:r w:rsidR="00104F2F" w:rsidRPr="00424C98">
          <w:rPr>
            <w:rStyle w:val="Hyperlink"/>
            <w:rFonts w:ascii="Calibri" w:hAnsi="Calibri"/>
            <w:noProof/>
          </w:rPr>
          <w:t>E. Marketing</w:t>
        </w:r>
        <w:r w:rsidR="00104F2F">
          <w:rPr>
            <w:noProof/>
            <w:webHidden/>
          </w:rPr>
          <w:tab/>
        </w:r>
        <w:r w:rsidR="00104F2F">
          <w:rPr>
            <w:noProof/>
            <w:webHidden/>
          </w:rPr>
          <w:fldChar w:fldCharType="begin"/>
        </w:r>
        <w:r w:rsidR="00104F2F">
          <w:rPr>
            <w:noProof/>
            <w:webHidden/>
          </w:rPr>
          <w:instrText xml:space="preserve"> PAGEREF _Toc431964671 \h </w:instrText>
        </w:r>
        <w:r w:rsidR="00104F2F">
          <w:rPr>
            <w:noProof/>
            <w:webHidden/>
          </w:rPr>
        </w:r>
        <w:r w:rsidR="00104F2F">
          <w:rPr>
            <w:noProof/>
            <w:webHidden/>
          </w:rPr>
          <w:fldChar w:fldCharType="separate"/>
        </w:r>
        <w:r w:rsidR="00B577F7">
          <w:rPr>
            <w:noProof/>
            <w:webHidden/>
          </w:rPr>
          <w:t>11</w:t>
        </w:r>
        <w:r w:rsidR="00104F2F">
          <w:rPr>
            <w:noProof/>
            <w:webHidden/>
          </w:rPr>
          <w:fldChar w:fldCharType="end"/>
        </w:r>
      </w:hyperlink>
    </w:p>
    <w:p w:rsidR="00104F2F" w:rsidRDefault="00BA2F31">
      <w:pPr>
        <w:pStyle w:val="TOC1"/>
        <w:tabs>
          <w:tab w:val="right" w:leader="dot" w:pos="9350"/>
        </w:tabs>
        <w:rPr>
          <w:rFonts w:asciiTheme="minorHAnsi" w:eastAsiaTheme="minorEastAsia" w:hAnsiTheme="minorHAnsi" w:cstheme="minorBidi"/>
          <w:noProof/>
          <w:sz w:val="22"/>
          <w:szCs w:val="22"/>
        </w:rPr>
      </w:pPr>
      <w:hyperlink w:anchor="_Toc431964672" w:history="1">
        <w:r w:rsidR="00104F2F" w:rsidRPr="00424C98">
          <w:rPr>
            <w:rStyle w:val="Hyperlink"/>
            <w:rFonts w:ascii="Calibri" w:hAnsi="Calibri"/>
            <w:noProof/>
          </w:rPr>
          <w:t>F. Enrollment/Disenrollment and Premium Billing</w:t>
        </w:r>
        <w:r w:rsidR="00104F2F">
          <w:rPr>
            <w:noProof/>
            <w:webHidden/>
          </w:rPr>
          <w:tab/>
        </w:r>
        <w:r w:rsidR="00104F2F">
          <w:rPr>
            <w:noProof/>
            <w:webHidden/>
          </w:rPr>
          <w:fldChar w:fldCharType="begin"/>
        </w:r>
        <w:r w:rsidR="00104F2F">
          <w:rPr>
            <w:noProof/>
            <w:webHidden/>
          </w:rPr>
          <w:instrText xml:space="preserve"> PAGEREF _Toc431964672 \h </w:instrText>
        </w:r>
        <w:r w:rsidR="00104F2F">
          <w:rPr>
            <w:noProof/>
            <w:webHidden/>
          </w:rPr>
        </w:r>
        <w:r w:rsidR="00104F2F">
          <w:rPr>
            <w:noProof/>
            <w:webHidden/>
          </w:rPr>
          <w:fldChar w:fldCharType="separate"/>
        </w:r>
        <w:r w:rsidR="00B577F7">
          <w:rPr>
            <w:noProof/>
            <w:webHidden/>
          </w:rPr>
          <w:t>12</w:t>
        </w:r>
        <w:r w:rsidR="00104F2F">
          <w:rPr>
            <w:noProof/>
            <w:webHidden/>
          </w:rPr>
          <w:fldChar w:fldCharType="end"/>
        </w:r>
      </w:hyperlink>
    </w:p>
    <w:p w:rsidR="00104F2F" w:rsidRDefault="00BA2F31">
      <w:pPr>
        <w:pStyle w:val="TOC1"/>
        <w:tabs>
          <w:tab w:val="right" w:leader="dot" w:pos="9350"/>
        </w:tabs>
        <w:rPr>
          <w:rFonts w:asciiTheme="minorHAnsi" w:eastAsiaTheme="minorEastAsia" w:hAnsiTheme="minorHAnsi" w:cstheme="minorBidi"/>
          <w:noProof/>
          <w:sz w:val="22"/>
          <w:szCs w:val="22"/>
        </w:rPr>
      </w:pPr>
      <w:hyperlink w:anchor="_Toc431964673" w:history="1">
        <w:r w:rsidR="00104F2F" w:rsidRPr="00424C98">
          <w:rPr>
            <w:rStyle w:val="Hyperlink"/>
            <w:rFonts w:ascii="Calibri" w:hAnsi="Calibri"/>
            <w:noProof/>
          </w:rPr>
          <w:t>G. Late Enrollment Penalty (LEP) and Creditable Coverage – Part D Sponsors</w:t>
        </w:r>
        <w:r w:rsidR="00104F2F">
          <w:rPr>
            <w:noProof/>
            <w:webHidden/>
          </w:rPr>
          <w:tab/>
        </w:r>
        <w:r w:rsidR="00104F2F">
          <w:rPr>
            <w:noProof/>
            <w:webHidden/>
          </w:rPr>
          <w:fldChar w:fldCharType="begin"/>
        </w:r>
        <w:r w:rsidR="00104F2F">
          <w:rPr>
            <w:noProof/>
            <w:webHidden/>
          </w:rPr>
          <w:instrText xml:space="preserve"> PAGEREF _Toc431964673 \h </w:instrText>
        </w:r>
        <w:r w:rsidR="00104F2F">
          <w:rPr>
            <w:noProof/>
            <w:webHidden/>
          </w:rPr>
        </w:r>
        <w:r w:rsidR="00104F2F">
          <w:rPr>
            <w:noProof/>
            <w:webHidden/>
          </w:rPr>
          <w:fldChar w:fldCharType="separate"/>
        </w:r>
        <w:r w:rsidR="00B577F7">
          <w:rPr>
            <w:noProof/>
            <w:webHidden/>
          </w:rPr>
          <w:t>14</w:t>
        </w:r>
        <w:r w:rsidR="00104F2F">
          <w:rPr>
            <w:noProof/>
            <w:webHidden/>
          </w:rPr>
          <w:fldChar w:fldCharType="end"/>
        </w:r>
      </w:hyperlink>
    </w:p>
    <w:p w:rsidR="00104F2F" w:rsidRDefault="00BA2F31">
      <w:pPr>
        <w:pStyle w:val="TOC1"/>
        <w:tabs>
          <w:tab w:val="right" w:leader="dot" w:pos="9350"/>
        </w:tabs>
        <w:rPr>
          <w:rFonts w:asciiTheme="minorHAnsi" w:eastAsiaTheme="minorEastAsia" w:hAnsiTheme="minorHAnsi" w:cstheme="minorBidi"/>
          <w:noProof/>
          <w:sz w:val="22"/>
          <w:szCs w:val="22"/>
        </w:rPr>
      </w:pPr>
      <w:hyperlink w:anchor="_Toc431964674" w:history="1">
        <w:r w:rsidR="00104F2F" w:rsidRPr="00424C98">
          <w:rPr>
            <w:rStyle w:val="Hyperlink"/>
            <w:rFonts w:ascii="Calibri" w:hAnsi="Calibri"/>
            <w:noProof/>
          </w:rPr>
          <w:t>H. Benefits Administration &amp; Beneficiary Protections</w:t>
        </w:r>
        <w:r w:rsidR="00104F2F">
          <w:rPr>
            <w:noProof/>
            <w:webHidden/>
          </w:rPr>
          <w:tab/>
        </w:r>
        <w:r w:rsidR="00104F2F">
          <w:rPr>
            <w:noProof/>
            <w:webHidden/>
          </w:rPr>
          <w:fldChar w:fldCharType="begin"/>
        </w:r>
        <w:r w:rsidR="00104F2F">
          <w:rPr>
            <w:noProof/>
            <w:webHidden/>
          </w:rPr>
          <w:instrText xml:space="preserve"> PAGEREF _Toc431964674 \h </w:instrText>
        </w:r>
        <w:r w:rsidR="00104F2F">
          <w:rPr>
            <w:noProof/>
            <w:webHidden/>
          </w:rPr>
        </w:r>
        <w:r w:rsidR="00104F2F">
          <w:rPr>
            <w:noProof/>
            <w:webHidden/>
          </w:rPr>
          <w:fldChar w:fldCharType="separate"/>
        </w:r>
        <w:r w:rsidR="00B577F7">
          <w:rPr>
            <w:noProof/>
            <w:webHidden/>
          </w:rPr>
          <w:t>14</w:t>
        </w:r>
        <w:r w:rsidR="00104F2F">
          <w:rPr>
            <w:noProof/>
            <w:webHidden/>
          </w:rPr>
          <w:fldChar w:fldCharType="end"/>
        </w:r>
      </w:hyperlink>
    </w:p>
    <w:p w:rsidR="00104F2F" w:rsidRDefault="00BA2F31">
      <w:pPr>
        <w:pStyle w:val="TOC1"/>
        <w:tabs>
          <w:tab w:val="right" w:leader="dot" w:pos="9350"/>
        </w:tabs>
        <w:rPr>
          <w:rFonts w:asciiTheme="minorHAnsi" w:eastAsiaTheme="minorEastAsia" w:hAnsiTheme="minorHAnsi" w:cstheme="minorBidi"/>
          <w:noProof/>
          <w:sz w:val="22"/>
          <w:szCs w:val="22"/>
        </w:rPr>
      </w:pPr>
      <w:hyperlink w:anchor="_Toc431964675" w:history="1">
        <w:r w:rsidR="00104F2F" w:rsidRPr="00424C98">
          <w:rPr>
            <w:rStyle w:val="Hyperlink"/>
            <w:rFonts w:ascii="Calibri" w:hAnsi="Calibri"/>
            <w:noProof/>
          </w:rPr>
          <w:t>I. Best Available Evidence (BAE) and Low Income Subsidy (LIS)</w:t>
        </w:r>
        <w:r w:rsidR="00104F2F">
          <w:rPr>
            <w:noProof/>
            <w:webHidden/>
          </w:rPr>
          <w:tab/>
        </w:r>
        <w:r w:rsidR="00104F2F">
          <w:rPr>
            <w:noProof/>
            <w:webHidden/>
          </w:rPr>
          <w:fldChar w:fldCharType="begin"/>
        </w:r>
        <w:r w:rsidR="00104F2F">
          <w:rPr>
            <w:noProof/>
            <w:webHidden/>
          </w:rPr>
          <w:instrText xml:space="preserve"> PAGEREF _Toc431964675 \h </w:instrText>
        </w:r>
        <w:r w:rsidR="00104F2F">
          <w:rPr>
            <w:noProof/>
            <w:webHidden/>
          </w:rPr>
        </w:r>
        <w:r w:rsidR="00104F2F">
          <w:rPr>
            <w:noProof/>
            <w:webHidden/>
          </w:rPr>
          <w:fldChar w:fldCharType="separate"/>
        </w:r>
        <w:r w:rsidR="00B577F7">
          <w:rPr>
            <w:noProof/>
            <w:webHidden/>
          </w:rPr>
          <w:t>17</w:t>
        </w:r>
        <w:r w:rsidR="00104F2F">
          <w:rPr>
            <w:noProof/>
            <w:webHidden/>
          </w:rPr>
          <w:fldChar w:fldCharType="end"/>
        </w:r>
      </w:hyperlink>
    </w:p>
    <w:p w:rsidR="00104F2F" w:rsidRDefault="00BA2F31">
      <w:pPr>
        <w:pStyle w:val="TOC1"/>
        <w:tabs>
          <w:tab w:val="right" w:leader="dot" w:pos="9350"/>
        </w:tabs>
        <w:rPr>
          <w:rFonts w:asciiTheme="minorHAnsi" w:eastAsiaTheme="minorEastAsia" w:hAnsiTheme="minorHAnsi" w:cstheme="minorBidi"/>
          <w:noProof/>
          <w:sz w:val="22"/>
          <w:szCs w:val="22"/>
        </w:rPr>
      </w:pPr>
      <w:hyperlink w:anchor="_Toc431964676" w:history="1">
        <w:r w:rsidR="00104F2F" w:rsidRPr="00424C98">
          <w:rPr>
            <w:rStyle w:val="Hyperlink"/>
            <w:rFonts w:ascii="Calibri" w:hAnsi="Calibri"/>
            <w:noProof/>
          </w:rPr>
          <w:t>J. Coordination of Benefits (COB) and Automatic TrOOP Balance Transfer</w:t>
        </w:r>
        <w:r w:rsidR="00104F2F">
          <w:rPr>
            <w:noProof/>
            <w:webHidden/>
          </w:rPr>
          <w:tab/>
        </w:r>
        <w:r w:rsidR="00104F2F">
          <w:rPr>
            <w:noProof/>
            <w:webHidden/>
          </w:rPr>
          <w:fldChar w:fldCharType="begin"/>
        </w:r>
        <w:r w:rsidR="00104F2F">
          <w:rPr>
            <w:noProof/>
            <w:webHidden/>
          </w:rPr>
          <w:instrText xml:space="preserve"> PAGEREF _Toc431964676 \h </w:instrText>
        </w:r>
        <w:r w:rsidR="00104F2F">
          <w:rPr>
            <w:noProof/>
            <w:webHidden/>
          </w:rPr>
        </w:r>
        <w:r w:rsidR="00104F2F">
          <w:rPr>
            <w:noProof/>
            <w:webHidden/>
          </w:rPr>
          <w:fldChar w:fldCharType="separate"/>
        </w:r>
        <w:r w:rsidR="00B577F7">
          <w:rPr>
            <w:noProof/>
            <w:webHidden/>
          </w:rPr>
          <w:t>18</w:t>
        </w:r>
        <w:r w:rsidR="00104F2F">
          <w:rPr>
            <w:noProof/>
            <w:webHidden/>
          </w:rPr>
          <w:fldChar w:fldCharType="end"/>
        </w:r>
      </w:hyperlink>
    </w:p>
    <w:p w:rsidR="00104F2F" w:rsidRDefault="00BA2F31">
      <w:pPr>
        <w:pStyle w:val="TOC1"/>
        <w:tabs>
          <w:tab w:val="right" w:leader="dot" w:pos="9350"/>
        </w:tabs>
        <w:rPr>
          <w:rFonts w:asciiTheme="minorHAnsi" w:eastAsiaTheme="minorEastAsia" w:hAnsiTheme="minorHAnsi" w:cstheme="minorBidi"/>
          <w:noProof/>
          <w:sz w:val="22"/>
          <w:szCs w:val="22"/>
        </w:rPr>
      </w:pPr>
      <w:hyperlink w:anchor="_Toc431964677" w:history="1">
        <w:r w:rsidR="00104F2F" w:rsidRPr="00424C98">
          <w:rPr>
            <w:rStyle w:val="Hyperlink"/>
            <w:rFonts w:ascii="Calibri" w:hAnsi="Calibri"/>
            <w:noProof/>
          </w:rPr>
          <w:t>K. Claims Processing and Transition Process</w:t>
        </w:r>
        <w:r w:rsidR="00104F2F">
          <w:rPr>
            <w:noProof/>
            <w:webHidden/>
          </w:rPr>
          <w:tab/>
        </w:r>
        <w:r w:rsidR="00104F2F">
          <w:rPr>
            <w:noProof/>
            <w:webHidden/>
          </w:rPr>
          <w:fldChar w:fldCharType="begin"/>
        </w:r>
        <w:r w:rsidR="00104F2F">
          <w:rPr>
            <w:noProof/>
            <w:webHidden/>
          </w:rPr>
          <w:instrText xml:space="preserve"> PAGEREF _Toc431964677 \h </w:instrText>
        </w:r>
        <w:r w:rsidR="00104F2F">
          <w:rPr>
            <w:noProof/>
            <w:webHidden/>
          </w:rPr>
        </w:r>
        <w:r w:rsidR="00104F2F">
          <w:rPr>
            <w:noProof/>
            <w:webHidden/>
          </w:rPr>
          <w:fldChar w:fldCharType="separate"/>
        </w:r>
        <w:r w:rsidR="00B577F7">
          <w:rPr>
            <w:noProof/>
            <w:webHidden/>
          </w:rPr>
          <w:t>19</w:t>
        </w:r>
        <w:r w:rsidR="00104F2F">
          <w:rPr>
            <w:noProof/>
            <w:webHidden/>
          </w:rPr>
          <w:fldChar w:fldCharType="end"/>
        </w:r>
      </w:hyperlink>
    </w:p>
    <w:p w:rsidR="00104F2F" w:rsidRDefault="00BA2F31">
      <w:pPr>
        <w:pStyle w:val="TOC1"/>
        <w:tabs>
          <w:tab w:val="right" w:leader="dot" w:pos="9350"/>
        </w:tabs>
        <w:rPr>
          <w:rFonts w:asciiTheme="minorHAnsi" w:eastAsiaTheme="minorEastAsia" w:hAnsiTheme="minorHAnsi" w:cstheme="minorBidi"/>
          <w:noProof/>
          <w:sz w:val="22"/>
          <w:szCs w:val="22"/>
        </w:rPr>
      </w:pPr>
      <w:hyperlink w:anchor="_Toc431964678" w:history="1">
        <w:r w:rsidR="00104F2F" w:rsidRPr="00424C98">
          <w:rPr>
            <w:rStyle w:val="Hyperlink"/>
            <w:rFonts w:ascii="Calibri" w:hAnsi="Calibri"/>
            <w:noProof/>
          </w:rPr>
          <w:t>L. Grievances, Initial Coverage Decisions, and Appeals</w:t>
        </w:r>
        <w:r w:rsidR="00104F2F">
          <w:rPr>
            <w:noProof/>
            <w:webHidden/>
          </w:rPr>
          <w:tab/>
        </w:r>
        <w:r w:rsidR="00104F2F">
          <w:rPr>
            <w:noProof/>
            <w:webHidden/>
          </w:rPr>
          <w:fldChar w:fldCharType="begin"/>
        </w:r>
        <w:r w:rsidR="00104F2F">
          <w:rPr>
            <w:noProof/>
            <w:webHidden/>
          </w:rPr>
          <w:instrText xml:space="preserve"> PAGEREF _Toc431964678 \h </w:instrText>
        </w:r>
        <w:r w:rsidR="00104F2F">
          <w:rPr>
            <w:noProof/>
            <w:webHidden/>
          </w:rPr>
        </w:r>
        <w:r w:rsidR="00104F2F">
          <w:rPr>
            <w:noProof/>
            <w:webHidden/>
          </w:rPr>
          <w:fldChar w:fldCharType="separate"/>
        </w:r>
        <w:r w:rsidR="00B577F7">
          <w:rPr>
            <w:noProof/>
            <w:webHidden/>
          </w:rPr>
          <w:t>19</w:t>
        </w:r>
        <w:r w:rsidR="00104F2F">
          <w:rPr>
            <w:noProof/>
            <w:webHidden/>
          </w:rPr>
          <w:fldChar w:fldCharType="end"/>
        </w:r>
      </w:hyperlink>
    </w:p>
    <w:p w:rsidR="00104F2F" w:rsidRDefault="00BA2F31">
      <w:pPr>
        <w:pStyle w:val="TOC1"/>
        <w:tabs>
          <w:tab w:val="right" w:leader="dot" w:pos="9350"/>
        </w:tabs>
        <w:rPr>
          <w:rFonts w:asciiTheme="minorHAnsi" w:eastAsiaTheme="minorEastAsia" w:hAnsiTheme="minorHAnsi" w:cstheme="minorBidi"/>
          <w:noProof/>
          <w:sz w:val="22"/>
          <w:szCs w:val="22"/>
        </w:rPr>
      </w:pPr>
      <w:hyperlink w:anchor="_Toc431964679" w:history="1">
        <w:r w:rsidR="00104F2F" w:rsidRPr="00424C98">
          <w:rPr>
            <w:rStyle w:val="Hyperlink"/>
            <w:rFonts w:ascii="Calibri" w:hAnsi="Calibri"/>
            <w:noProof/>
          </w:rPr>
          <w:t>M. Compliance and Fraud, Waste, and Abuse (FWA) Compliance Program – Medicare Advantage Organizations and Part D Sponsors</w:t>
        </w:r>
        <w:r w:rsidR="00104F2F">
          <w:rPr>
            <w:noProof/>
            <w:webHidden/>
          </w:rPr>
          <w:tab/>
        </w:r>
        <w:r w:rsidR="00104F2F">
          <w:rPr>
            <w:noProof/>
            <w:webHidden/>
          </w:rPr>
          <w:fldChar w:fldCharType="begin"/>
        </w:r>
        <w:r w:rsidR="00104F2F">
          <w:rPr>
            <w:noProof/>
            <w:webHidden/>
          </w:rPr>
          <w:instrText xml:space="preserve"> PAGEREF _Toc431964679 \h </w:instrText>
        </w:r>
        <w:r w:rsidR="00104F2F">
          <w:rPr>
            <w:noProof/>
            <w:webHidden/>
          </w:rPr>
        </w:r>
        <w:r w:rsidR="00104F2F">
          <w:rPr>
            <w:noProof/>
            <w:webHidden/>
          </w:rPr>
          <w:fldChar w:fldCharType="separate"/>
        </w:r>
        <w:r w:rsidR="00B577F7">
          <w:rPr>
            <w:noProof/>
            <w:webHidden/>
          </w:rPr>
          <w:t>20</w:t>
        </w:r>
        <w:r w:rsidR="00104F2F">
          <w:rPr>
            <w:noProof/>
            <w:webHidden/>
          </w:rPr>
          <w:fldChar w:fldCharType="end"/>
        </w:r>
      </w:hyperlink>
    </w:p>
    <w:p w:rsidR="00140712" w:rsidRPr="007B1F78" w:rsidRDefault="008D7D0F" w:rsidP="005201FD">
      <w:pPr>
        <w:rPr>
          <w:rFonts w:ascii="Calibri" w:hAnsi="Calibri"/>
        </w:rPr>
      </w:pPr>
      <w:r w:rsidRPr="007B1F78">
        <w:rPr>
          <w:rFonts w:asciiTheme="minorHAnsi" w:hAnsiTheme="minorHAnsi"/>
        </w:rPr>
        <w:fldChar w:fldCharType="end"/>
      </w:r>
      <w:r w:rsidR="00A11775" w:rsidRPr="007B1F78">
        <w:rPr>
          <w:rFonts w:ascii="Calibri" w:hAnsi="Calibri"/>
        </w:rPr>
        <w:t xml:space="preserve"> </w:t>
      </w:r>
    </w:p>
    <w:p w:rsidR="00140712" w:rsidRPr="007B1F78" w:rsidRDefault="00140712" w:rsidP="00A303AD">
      <w:pPr>
        <w:jc w:val="center"/>
        <w:rPr>
          <w:rFonts w:ascii="Calibri" w:hAnsi="Calibri"/>
        </w:rPr>
      </w:pPr>
    </w:p>
    <w:p w:rsidR="00B4797C" w:rsidRPr="007B1F78" w:rsidRDefault="00B4797C" w:rsidP="00B4797C">
      <w:pPr>
        <w:rPr>
          <w:rFonts w:ascii="Calibri" w:hAnsi="Calibri"/>
        </w:rPr>
        <w:sectPr w:rsidR="00B4797C" w:rsidRPr="007B1F78" w:rsidSect="009A5F91">
          <w:headerReference w:type="even" r:id="rId9"/>
          <w:footerReference w:type="even" r:id="rId10"/>
          <w:footerReference w:type="default" r:id="rId11"/>
          <w:headerReference w:type="first" r:id="rId12"/>
          <w:pgSz w:w="12240" w:h="15840" w:code="1"/>
          <w:pgMar w:top="1440" w:right="1440" w:bottom="1440" w:left="1440" w:header="720" w:footer="720" w:gutter="0"/>
          <w:cols w:space="720"/>
          <w:docGrid w:linePitch="360"/>
        </w:sectPr>
      </w:pPr>
      <w:r w:rsidRPr="007B1F78">
        <w:rPr>
          <w:rFonts w:ascii="Calibri" w:hAnsi="Calibri"/>
        </w:rPr>
        <w:t xml:space="preserve">Note: Unless otherwise indicated, where a requirement applies to Medicare Advantage Organizations, </w:t>
      </w:r>
      <w:r w:rsidR="000B076F">
        <w:rPr>
          <w:rFonts w:ascii="Calibri" w:hAnsi="Calibri"/>
        </w:rPr>
        <w:t>it also applies to</w:t>
      </w:r>
      <w:r w:rsidRPr="007B1F78">
        <w:rPr>
          <w:rFonts w:ascii="Calibri" w:hAnsi="Calibri"/>
        </w:rPr>
        <w:t xml:space="preserve"> 1876 Cost Plans.</w:t>
      </w:r>
      <w:r w:rsidR="000A7413" w:rsidRPr="007B1F78">
        <w:rPr>
          <w:rFonts w:ascii="Calibri" w:hAnsi="Calibri"/>
        </w:rPr>
        <w:t xml:space="preserve"> References to Part D sponsors include all organization types offering Part D.</w:t>
      </w:r>
    </w:p>
    <w:p w:rsidR="00140712" w:rsidRPr="007B1F78" w:rsidRDefault="009626F9" w:rsidP="00C77CEE">
      <w:pPr>
        <w:pStyle w:val="Heading1"/>
      </w:pPr>
      <w:bookmarkStart w:id="10" w:name="_Toc431964667"/>
      <w:r w:rsidRPr="007B1F78">
        <w:lastRenderedPageBreak/>
        <w:t xml:space="preserve">A. </w:t>
      </w:r>
      <w:r w:rsidR="00331D3A" w:rsidRPr="007B1F78">
        <w:t>Systems, Data</w:t>
      </w:r>
      <w:r w:rsidR="0018151E" w:rsidRPr="007B1F78">
        <w:t>,</w:t>
      </w:r>
      <w:r w:rsidR="00331D3A" w:rsidRPr="007B1F78">
        <w:t xml:space="preserve"> &amp; Connectivity</w:t>
      </w:r>
      <w:bookmarkEnd w:id="10"/>
    </w:p>
    <w:p w:rsidR="00FB003F" w:rsidRPr="001210AB" w:rsidRDefault="00331D3A" w:rsidP="00CD7797">
      <w:pPr>
        <w:pStyle w:val="ReadinessOutlineI"/>
      </w:pPr>
      <w:r w:rsidRPr="001210AB">
        <w:t>Health Plan Management System (HPMS)</w:t>
      </w:r>
      <w:r w:rsidR="00E41DA4" w:rsidRPr="001210AB">
        <w:t xml:space="preserve"> </w:t>
      </w:r>
      <w:r w:rsidR="00EB0C1D" w:rsidRPr="001210AB">
        <w:t>– Medicare Advantage Organizations and Part D Sponsors</w:t>
      </w:r>
    </w:p>
    <w:p w:rsidR="00FB003F" w:rsidRPr="001210AB" w:rsidRDefault="001C2131" w:rsidP="009722A9">
      <w:pPr>
        <w:pStyle w:val="ReadinessBullett1"/>
      </w:pPr>
      <w:r w:rsidRPr="001210AB">
        <w:t>Ensure key staff members register for the Plan Connectivity Data Module within HPMS by e</w:t>
      </w:r>
      <w:r w:rsidR="00D97239" w:rsidRPr="001210AB">
        <w:t>-</w:t>
      </w:r>
      <w:r w:rsidRPr="001210AB">
        <w:t xml:space="preserve">mailing </w:t>
      </w:r>
      <w:hyperlink r:id="rId13" w:history="1">
        <w:r w:rsidR="000E2C86" w:rsidRPr="001210AB">
          <w:t>hpms_access@cms.hhs.gov</w:t>
        </w:r>
      </w:hyperlink>
      <w:r w:rsidR="000E2C86" w:rsidRPr="001210AB">
        <w:t>.</w:t>
      </w:r>
      <w:r w:rsidR="000E2C86" w:rsidRPr="001210AB">
        <w:rPr>
          <w:color w:val="1F497D"/>
        </w:rPr>
        <w:t xml:space="preserve"> </w:t>
      </w:r>
    </w:p>
    <w:p w:rsidR="00FB003F" w:rsidRDefault="001C2131" w:rsidP="009722A9">
      <w:pPr>
        <w:pStyle w:val="ReadinessBullett1"/>
      </w:pPr>
      <w:r w:rsidRPr="007B1F78">
        <w:t xml:space="preserve">Update </w:t>
      </w:r>
      <w:r w:rsidR="00445760">
        <w:t xml:space="preserve">your </w:t>
      </w:r>
      <w:r w:rsidRPr="007B1F78">
        <w:t xml:space="preserve">organization’s contact </w:t>
      </w:r>
      <w:r w:rsidR="00C105F9">
        <w:t xml:space="preserve">contract </w:t>
      </w:r>
      <w:r w:rsidRPr="007B1F78">
        <w:t>information in HPMS</w:t>
      </w:r>
      <w:r w:rsidR="00EA395F" w:rsidRPr="007B1F78">
        <w:t>,</w:t>
      </w:r>
      <w:r w:rsidRPr="007B1F78">
        <w:t xml:space="preserve"> </w:t>
      </w:r>
      <w:r w:rsidR="00EA395F" w:rsidRPr="007B1F78">
        <w:t>ensuring</w:t>
      </w:r>
      <w:r w:rsidRPr="007B1F78">
        <w:t xml:space="preserve"> all </w:t>
      </w:r>
      <w:r w:rsidR="00EA395F" w:rsidRPr="007B1F78">
        <w:t xml:space="preserve">information is </w:t>
      </w:r>
      <w:r w:rsidRPr="007B1F78">
        <w:t>current. Changes to any HPMS contacts</w:t>
      </w:r>
      <w:r w:rsidR="00C105F9">
        <w:t xml:space="preserve"> or Part C and Part D Information</w:t>
      </w:r>
      <w:r w:rsidR="00445760">
        <w:t xml:space="preserve"> are expected to</w:t>
      </w:r>
      <w:r w:rsidRPr="007B1F78">
        <w:t xml:space="preserve"> be made immediately upon the effective date of the responsibility transfer.</w:t>
      </w:r>
    </w:p>
    <w:p w:rsidR="00445760" w:rsidRPr="00B4451C" w:rsidRDefault="00445760" w:rsidP="009722A9">
      <w:pPr>
        <w:pStyle w:val="ReadinessBullett1"/>
      </w:pPr>
      <w:r w:rsidRPr="00B4451C">
        <w:t>All sponsors are required to keep the data on the HPMS contact</w:t>
      </w:r>
      <w:r w:rsidR="00C105F9" w:rsidRPr="00B4451C">
        <w:t xml:space="preserve"> and </w:t>
      </w:r>
      <w:r w:rsidR="002E50E0">
        <w:t>d</w:t>
      </w:r>
      <w:r w:rsidR="00C105F9" w:rsidRPr="00B4451C">
        <w:t xml:space="preserve">ata information </w:t>
      </w:r>
      <w:r w:rsidRPr="00B4451C">
        <w:t>page</w:t>
      </w:r>
      <w:r w:rsidR="00C105F9" w:rsidRPr="00B4451C">
        <w:t>s</w:t>
      </w:r>
      <w:r w:rsidRPr="00B4451C">
        <w:t xml:space="preserve"> up-to-date throughout the year. It is critical to enter and maintain contract-level contact information as it is used for other purposes within HPMS and other CMS systems, as well as in support of information displayed publicly.</w:t>
      </w:r>
    </w:p>
    <w:p w:rsidR="00445760" w:rsidRPr="00B4451C" w:rsidRDefault="00445760" w:rsidP="009722A9">
      <w:pPr>
        <w:pStyle w:val="ReadinessBullett1"/>
      </w:pPr>
      <w:r w:rsidRPr="00B4451C">
        <w:t xml:space="preserve">Refer to the HPMS contact definitions to assist you with completing the contact </w:t>
      </w:r>
      <w:r w:rsidR="00C105F9" w:rsidRPr="00B4451C">
        <w:t>and information sections</w:t>
      </w:r>
      <w:r w:rsidRPr="00B4451C">
        <w:t>.</w:t>
      </w:r>
    </w:p>
    <w:p w:rsidR="00445760" w:rsidRPr="00B4451C" w:rsidRDefault="00445760" w:rsidP="004C2F0F">
      <w:pPr>
        <w:pStyle w:val="OutlineParagraph"/>
      </w:pPr>
      <w:r w:rsidRPr="00B4451C">
        <w:t>(</w:t>
      </w:r>
      <w:r w:rsidRPr="00104F2F">
        <w:t xml:space="preserve">HPMS Basic Contract Management Manual </w:t>
      </w:r>
      <w:r w:rsidRPr="00B4451C">
        <w:t xml:space="preserve">and </w:t>
      </w:r>
      <w:r w:rsidRPr="00104F2F">
        <w:t>Contact Definitions</w:t>
      </w:r>
      <w:r w:rsidRPr="00B4451C">
        <w:t>)</w:t>
      </w:r>
    </w:p>
    <w:p w:rsidR="00446A99" w:rsidRDefault="00B96C20" w:rsidP="00CD7797">
      <w:pPr>
        <w:pStyle w:val="ReadinessOutlineI"/>
      </w:pPr>
      <w:r>
        <w:t xml:space="preserve">Prescriber </w:t>
      </w:r>
      <w:r w:rsidR="00446A99">
        <w:t>Enrollment – Part D Sponsors</w:t>
      </w:r>
    </w:p>
    <w:p w:rsidR="002314F1" w:rsidRDefault="00BB6ABE" w:rsidP="009722A9">
      <w:pPr>
        <w:pStyle w:val="ReadinessBullett1"/>
      </w:pPr>
      <w:r>
        <w:t xml:space="preserve">No later than June 1, 2016 </w:t>
      </w:r>
      <w:r w:rsidR="002E50E0">
        <w:t>p</w:t>
      </w:r>
      <w:r w:rsidR="002E3F90">
        <w:t xml:space="preserve">hysicians and </w:t>
      </w:r>
      <w:r w:rsidR="002E3F90" w:rsidRPr="002E3F90">
        <w:t>other eligible professionals who write p</w:t>
      </w:r>
      <w:r w:rsidR="002E3F90">
        <w:t>rescriptions for Part D drugs are required to</w:t>
      </w:r>
      <w:r w:rsidR="002E3F90" w:rsidRPr="002E3F90">
        <w:t xml:space="preserve"> be enrolled in Medicare in an approved status or to have a valid opt-out affidavit on file for their prescriptions to be cover</w:t>
      </w:r>
      <w:r w:rsidR="00B96C20">
        <w:t>able</w:t>
      </w:r>
      <w:r w:rsidR="002E3F90" w:rsidRPr="002E3F90">
        <w:t xml:space="preserve"> under Part D</w:t>
      </w:r>
      <w:r w:rsidR="00B96C20">
        <w:t>, unless the prescriber is an “Other Authorized Prescriber</w:t>
      </w:r>
      <w:r w:rsidR="002E50E0">
        <w:t>.</w:t>
      </w:r>
      <w:r w:rsidR="00B96C20">
        <w:t>”</w:t>
      </w:r>
      <w:r w:rsidR="00FB79DA">
        <w:t xml:space="preserve">  Part D sponsors should u</w:t>
      </w:r>
      <w:r w:rsidR="00446A99" w:rsidRPr="00446A99">
        <w:t>tilize the enrollment file that identifies physicians and eligible professionals who are enrolled in Medicare in an approved status or have a valid opt-o</w:t>
      </w:r>
      <w:r w:rsidR="00446A99">
        <w:t xml:space="preserve">ut affidavit on file with a </w:t>
      </w:r>
      <w:r w:rsidR="006863BB">
        <w:t>Medicare Administrative Contractor (</w:t>
      </w:r>
      <w:r w:rsidR="00446A99">
        <w:t>MAC</w:t>
      </w:r>
      <w:r w:rsidR="006863BB">
        <w:t>)</w:t>
      </w:r>
      <w:r w:rsidR="00446A99" w:rsidRPr="00446A99">
        <w:t xml:space="preserve"> to determine a prescriber’s Medicare enrollment or opt-out status when processing Part D pharmacy claims.</w:t>
      </w:r>
      <w:r w:rsidR="00FC2764">
        <w:t xml:space="preserve">  </w:t>
      </w:r>
      <w:r w:rsidR="00B96C20">
        <w:t>Part D sponsors must also cover 3-month provisional supplies when applicable and comply with the written beneficiary and prescriber notice requirements.</w:t>
      </w:r>
    </w:p>
    <w:p w:rsidR="00B96C20" w:rsidRPr="00B96C20" w:rsidRDefault="00C36576" w:rsidP="009722A9">
      <w:pPr>
        <w:pStyle w:val="ReadinessBullett1"/>
      </w:pPr>
      <w:r>
        <w:lastRenderedPageBreak/>
        <w:t xml:space="preserve">Organizations </w:t>
      </w:r>
      <w:r w:rsidR="00B96C20" w:rsidRPr="00B96C20">
        <w:t>offering Part D prescription drug coverage in conjunction with other Medicare coverage should confirm their contract</w:t>
      </w:r>
      <w:r w:rsidR="002C39F8">
        <w:t>ed</w:t>
      </w:r>
      <w:r w:rsidR="00B96C20" w:rsidRPr="00B96C20">
        <w:t xml:space="preserve"> providers are eligible to furnish Part D prescriptions. If an organization anticipates that a contracted physician or eligible professional, including a dentist, may write prescriptions for Part D drugs, the organization should confirm that the contracted physician or eligible professional is enrolled in Medicare in an approved status.</w:t>
      </w:r>
    </w:p>
    <w:p w:rsidR="00BB6ABE" w:rsidRDefault="00BB6ABE" w:rsidP="009722A9">
      <w:pPr>
        <w:pStyle w:val="ReadinessBullett1"/>
      </w:pPr>
      <w:r>
        <w:t xml:space="preserve">Sponsors and their </w:t>
      </w:r>
      <w:r w:rsidR="00D42857" w:rsidRPr="007B1F78">
        <w:t>Pharmacy Benefit Manager</w:t>
      </w:r>
      <w:r w:rsidR="00D42857">
        <w:t>s (</w:t>
      </w:r>
      <w:r>
        <w:t>PBM</w:t>
      </w:r>
      <w:r w:rsidR="00B44DDD">
        <w:t>s</w:t>
      </w:r>
      <w:r w:rsidR="00D42857">
        <w:t>)</w:t>
      </w:r>
      <w:r>
        <w:t xml:space="preserve"> are encouraged to begin outreach activities to Medicare Part D prescribers no later than January 1, 2016.</w:t>
      </w:r>
      <w:r w:rsidR="00B96C20">
        <w:t xml:space="preserve"> (HPMS memo 10/13/2015)</w:t>
      </w:r>
    </w:p>
    <w:p w:rsidR="00FB79DA" w:rsidRDefault="00B96C20" w:rsidP="004C2F0F">
      <w:pPr>
        <w:pStyle w:val="OutlineParagraph"/>
      </w:pPr>
      <w:r w:rsidDel="00B96C20">
        <w:t xml:space="preserve"> </w:t>
      </w:r>
      <w:r w:rsidR="00FB79DA" w:rsidRPr="00B4451C">
        <w:t>(HPMS memo</w:t>
      </w:r>
      <w:r w:rsidR="00FC2764" w:rsidRPr="00B4451C">
        <w:t>s</w:t>
      </w:r>
      <w:r w:rsidR="00FB79DA" w:rsidRPr="00B4451C">
        <w:t xml:space="preserve"> 12/03/2014</w:t>
      </w:r>
      <w:r w:rsidR="00FC2764" w:rsidRPr="00B4451C">
        <w:t>, 06/01/2015</w:t>
      </w:r>
      <w:r w:rsidR="002314F1" w:rsidRPr="00B4451C">
        <w:t>, 06/</w:t>
      </w:r>
      <w:r w:rsidR="00E41DA4">
        <w:t>09</w:t>
      </w:r>
      <w:r w:rsidR="002314F1" w:rsidRPr="00B4451C">
        <w:t>/2015</w:t>
      </w:r>
      <w:r w:rsidR="00FB79DA" w:rsidRPr="00B4451C">
        <w:t>)</w:t>
      </w:r>
    </w:p>
    <w:p w:rsidR="00870769" w:rsidRPr="00B4451C" w:rsidRDefault="00870769" w:rsidP="004C2F0F">
      <w:pPr>
        <w:pStyle w:val="OutlineParagraph"/>
      </w:pPr>
    </w:p>
    <w:p w:rsidR="00BB6ABE" w:rsidRPr="007B1F78" w:rsidRDefault="00BB6ABE" w:rsidP="00CD7797">
      <w:pPr>
        <w:pStyle w:val="ReadinessOutlineI"/>
      </w:pPr>
      <w:r w:rsidRPr="007B1F78">
        <w:t xml:space="preserve">National Provider Identifier (NPI) Requirements – Part D Sponsors </w:t>
      </w:r>
    </w:p>
    <w:p w:rsidR="00BB6ABE" w:rsidRPr="00C36576" w:rsidRDefault="00B96C20" w:rsidP="009722A9">
      <w:pPr>
        <w:pStyle w:val="ReadinessBullett1"/>
      </w:pPr>
      <w:r w:rsidRPr="00B96C20">
        <w:t xml:space="preserve">Consistent with the Medicare Access and CHIP Reauthorization Act of 2015, for plan year 2016 and thereafter, claims for covered Part D drugs must include a valid prescriber NPI.  </w:t>
      </w:r>
    </w:p>
    <w:p w:rsidR="00B96C20" w:rsidRDefault="00BB6ABE" w:rsidP="009722A9">
      <w:pPr>
        <w:pStyle w:val="ReadinessBullett1"/>
      </w:pPr>
      <w:r w:rsidRPr="007B1F78">
        <w:t>Part D sponsors must submit to CMS only prescription drug event (PDE) record</w:t>
      </w:r>
      <w:r>
        <w:t>s</w:t>
      </w:r>
      <w:r w:rsidRPr="007B1F78">
        <w:t xml:space="preserve"> contain</w:t>
      </w:r>
      <w:r>
        <w:t>ing</w:t>
      </w:r>
      <w:r w:rsidRPr="007B1F78">
        <w:t xml:space="preserve"> an active and valid individual prescriber NPI. 42 </w:t>
      </w:r>
      <w:r>
        <w:t>C.F.R.</w:t>
      </w:r>
      <w:r w:rsidRPr="007B1F78">
        <w:t xml:space="preserve"> 423.102(c)(5)</w:t>
      </w:r>
      <w:r w:rsidR="00B96C20">
        <w:t xml:space="preserve"> and (6).</w:t>
      </w:r>
    </w:p>
    <w:p w:rsidR="00B96C20" w:rsidRDefault="00F70151" w:rsidP="00C36576">
      <w:pPr>
        <w:pStyle w:val="OutlineParagraph"/>
      </w:pPr>
      <w:r>
        <w:t>(</w:t>
      </w:r>
      <w:r w:rsidR="00B96C20">
        <w:t>HPMS memo 6/9/2015</w:t>
      </w:r>
      <w:r>
        <w:t>)</w:t>
      </w:r>
    </w:p>
    <w:p w:rsidR="00FB003F" w:rsidRPr="007B1F78" w:rsidRDefault="00E10D4A" w:rsidP="00CD7797">
      <w:pPr>
        <w:pStyle w:val="ReadinessOutlineI"/>
      </w:pPr>
      <w:r w:rsidRPr="007B1F78">
        <w:t>MARx</w:t>
      </w:r>
      <w:r w:rsidR="00173391" w:rsidRPr="007B1F78">
        <w:t xml:space="preserve"> – Medicare Advantage Organizations and Part D Sponsors</w:t>
      </w:r>
    </w:p>
    <w:p w:rsidR="00FB003F" w:rsidRPr="007B1F78" w:rsidRDefault="008B15CE" w:rsidP="009722A9">
      <w:pPr>
        <w:pStyle w:val="ReadinessBullett1"/>
      </w:pPr>
      <w:r w:rsidRPr="007B1F78">
        <w:t xml:space="preserve">Ensure your External Point of Contact is notified of the changes regarding the Individuals Authorized Access to the CMS Computer Services (IACS) users.  </w:t>
      </w:r>
      <w:r w:rsidR="007B7CA1" w:rsidRPr="007B1F78">
        <w:t>(</w:t>
      </w:r>
      <w:hyperlink r:id="rId14" w:history="1">
        <w:r w:rsidR="00E57270" w:rsidRPr="002E50E0">
          <w:rPr>
            <w:rStyle w:val="Hyperlink"/>
          </w:rPr>
          <w:t>http://www.cms.gov/Research-Statistics-Data-and-Systems/CMS-Information-Technology/IACS/index.html?redirect=/IACS/</w:t>
        </w:r>
      </w:hyperlink>
      <w:r w:rsidR="007B7CA1" w:rsidRPr="007B1F78">
        <w:t>)</w:t>
      </w:r>
    </w:p>
    <w:p w:rsidR="00FB003F" w:rsidRPr="007B1F78" w:rsidRDefault="007B7BEB" w:rsidP="009722A9">
      <w:pPr>
        <w:pStyle w:val="ReadinessBullett1"/>
      </w:pPr>
      <w:r w:rsidRPr="007B1F78">
        <w:t>An i</w:t>
      </w:r>
      <w:r w:rsidR="007828BF" w:rsidRPr="007B1F78">
        <w:t xml:space="preserve">ndividual’s access to IACS will be partially disabled when </w:t>
      </w:r>
      <w:r w:rsidR="00DE3ABF">
        <w:t>60</w:t>
      </w:r>
      <w:r w:rsidR="00DE3ABF" w:rsidRPr="007B1F78">
        <w:t xml:space="preserve"> </w:t>
      </w:r>
      <w:r w:rsidR="007828BF" w:rsidRPr="007B1F78">
        <w:t>days or more lapses between system logins.</w:t>
      </w:r>
      <w:r w:rsidR="008B15CE" w:rsidRPr="007B1F78">
        <w:t xml:space="preserve">  (</w:t>
      </w:r>
      <w:r w:rsidR="00DE3ABF" w:rsidRPr="00180CD7">
        <w:rPr>
          <w:i/>
        </w:rPr>
        <w:t xml:space="preserve">IACS User Guide Document Version </w:t>
      </w:r>
      <w:r w:rsidR="00882A9C">
        <w:rPr>
          <w:i/>
        </w:rPr>
        <w:t>2</w:t>
      </w:r>
      <w:r w:rsidR="00DE3ABF" w:rsidRPr="00180CD7">
        <w:rPr>
          <w:i/>
        </w:rPr>
        <w:t>.0</w:t>
      </w:r>
      <w:r w:rsidR="00DE3ABF">
        <w:t xml:space="preserve">, </w:t>
      </w:r>
      <w:r w:rsidR="00D73B81">
        <w:t xml:space="preserve">November </w:t>
      </w:r>
      <w:r w:rsidR="00DE3ABF">
        <w:t>2013</w:t>
      </w:r>
      <w:r w:rsidR="008B15CE" w:rsidRPr="007B1F78">
        <w:t>)</w:t>
      </w:r>
    </w:p>
    <w:p w:rsidR="00477031" w:rsidRDefault="00477031" w:rsidP="00CD7797">
      <w:pPr>
        <w:pStyle w:val="ReadinessOutlineI"/>
      </w:pPr>
      <w:r w:rsidRPr="00BB6ABE">
        <w:t>Electronic</w:t>
      </w:r>
      <w:r>
        <w:t xml:space="preserve"> Correspondence Reporting System (ECRS) – M</w:t>
      </w:r>
      <w:r w:rsidR="00DC479F">
        <w:t>edicare Advantage Organizations and</w:t>
      </w:r>
      <w:r>
        <w:t xml:space="preserve"> Part D Sponsors</w:t>
      </w:r>
    </w:p>
    <w:p w:rsidR="00354EE2" w:rsidRDefault="002C39F8" w:rsidP="009722A9">
      <w:pPr>
        <w:pStyle w:val="ReadinessBullett1"/>
      </w:pPr>
      <w:r>
        <w:lastRenderedPageBreak/>
        <w:t xml:space="preserve">Adhere to </w:t>
      </w:r>
      <w:r w:rsidR="00477031" w:rsidRPr="00687A65">
        <w:t>the</w:t>
      </w:r>
      <w:r w:rsidR="00BD4EAB" w:rsidRPr="00687A65">
        <w:t xml:space="preserve"> October 1, 201</w:t>
      </w:r>
      <w:r w:rsidR="00670D8A">
        <w:t>5</w:t>
      </w:r>
      <w:r w:rsidR="00477031" w:rsidRPr="00687A65">
        <w:t xml:space="preserve"> implementation of CMS’ </w:t>
      </w:r>
      <w:r w:rsidR="00BD4EAB" w:rsidRPr="00687A65">
        <w:t xml:space="preserve">International Classification </w:t>
      </w:r>
      <w:r w:rsidR="00BD4EAB" w:rsidRPr="004C2F0F">
        <w:t>of Diseases, Tenth Revision, Clinical Modification (</w:t>
      </w:r>
      <w:r w:rsidR="00477031" w:rsidRPr="004C2F0F">
        <w:t>ICD-10</w:t>
      </w:r>
      <w:r w:rsidR="00BD4EAB" w:rsidRPr="004C2F0F">
        <w:t>-CM), which replace</w:t>
      </w:r>
      <w:r w:rsidR="00B44DDD">
        <w:t>s</w:t>
      </w:r>
      <w:r w:rsidR="00BD4EAB" w:rsidRPr="004C2F0F">
        <w:t xml:space="preserve"> the ICD-9 code sets used to report medical diagnoses and inpatient procedures</w:t>
      </w:r>
      <w:r w:rsidR="00513F2A" w:rsidRPr="004C2F0F">
        <w:t>.</w:t>
      </w:r>
      <w:r w:rsidR="00B4451C" w:rsidRPr="004C2F0F">
        <w:t xml:space="preserve">  </w:t>
      </w:r>
      <w:r w:rsidR="00623778">
        <w:t xml:space="preserve"> </w:t>
      </w:r>
      <w:r w:rsidR="00B4451C" w:rsidRPr="004C2F0F">
        <w:t>(</w:t>
      </w:r>
      <w:hyperlink r:id="rId15" w:history="1">
        <w:r w:rsidRPr="002C39F8">
          <w:rPr>
            <w:rStyle w:val="Hyperlink"/>
          </w:rPr>
          <w:t>http://www.cms.gov/Medicare/Coding/ICD10/)</w:t>
        </w:r>
      </w:hyperlink>
    </w:p>
    <w:p w:rsidR="00623778" w:rsidRPr="004C2F0F" w:rsidRDefault="00623778" w:rsidP="009722A9">
      <w:pPr>
        <w:pStyle w:val="ReadinessBullett1"/>
      </w:pPr>
      <w:r w:rsidRPr="002822D4">
        <w:t>ECRS transactions capture diagnosis codes related to a No-Fault, Worker’s Compensation, or Liability Medicare Secondary Payer (MSP) case. Although only Medicare Advantage-Prescription Drug (MA-PD) plans can submit ECRS change requests, all Part D plans may submit inquiries concerning possible MSP coverage and use the diagnosis codes reported on the inquiry response and on the Medicare Advantage Prescription Drug (MARx) COB file to identify prescription drug claims that may be subject to MSP payment rules.</w:t>
      </w:r>
    </w:p>
    <w:p w:rsidR="00682745" w:rsidRPr="004C2F0F" w:rsidRDefault="00354EE2" w:rsidP="009722A9">
      <w:pPr>
        <w:pStyle w:val="ReadinessBullett1"/>
      </w:pPr>
      <w:r w:rsidRPr="004C2F0F">
        <w:t xml:space="preserve">Part D sponsors should use ECRS to request changes to a prescription drug record reporting coverage that is supplemental or primary to Part D. </w:t>
      </w:r>
      <w:r w:rsidR="00B4451C" w:rsidRPr="004C2F0F">
        <w:t xml:space="preserve"> </w:t>
      </w:r>
    </w:p>
    <w:p w:rsidR="00354EE2" w:rsidRPr="004C2F0F" w:rsidRDefault="00354EE2" w:rsidP="004C2F0F">
      <w:pPr>
        <w:pStyle w:val="OutlineParagraph"/>
      </w:pPr>
      <w:r w:rsidRPr="004C2F0F">
        <w:t>(HPMS memo</w:t>
      </w:r>
      <w:r w:rsidR="00104F2F" w:rsidRPr="004C2F0F">
        <w:t>s</w:t>
      </w:r>
      <w:r w:rsidRPr="004C2F0F">
        <w:t xml:space="preserve"> 02/18/2015</w:t>
      </w:r>
      <w:r w:rsidR="00104F2F" w:rsidRPr="004C2F0F">
        <w:t xml:space="preserve">, </w:t>
      </w:r>
      <w:r w:rsidR="00EB3019">
        <w:t xml:space="preserve">09/03/2015, </w:t>
      </w:r>
      <w:r w:rsidR="00104F2F" w:rsidRPr="004C2F0F">
        <w:t>09/11/2015, 09/25/2015</w:t>
      </w:r>
      <w:r w:rsidRPr="004C2F0F">
        <w:t>)</w:t>
      </w:r>
    </w:p>
    <w:p w:rsidR="00FB003F" w:rsidRPr="007B1F78" w:rsidRDefault="00E10D4A" w:rsidP="00CD7797">
      <w:pPr>
        <w:pStyle w:val="ReadinessOutlineI"/>
      </w:pPr>
      <w:r w:rsidRPr="007B1F78">
        <w:t>Medicare Plan Finder Data</w:t>
      </w:r>
      <w:r w:rsidR="000C1F72" w:rsidRPr="007B1F78">
        <w:t xml:space="preserve"> (MPF)</w:t>
      </w:r>
      <w:r w:rsidR="00F47B3C" w:rsidRPr="007B1F78">
        <w:t xml:space="preserve"> – Applicable organization types noted below</w:t>
      </w:r>
    </w:p>
    <w:p w:rsidR="001A17A2" w:rsidRDefault="00B4451C" w:rsidP="009722A9">
      <w:pPr>
        <w:pStyle w:val="ReadinessBullett1"/>
      </w:pPr>
      <w:r w:rsidRPr="00FB013E">
        <w:rPr>
          <w:b/>
        </w:rPr>
        <w:t xml:space="preserve">Pricing Data and Pharmacy Network Files.  </w:t>
      </w:r>
      <w:r w:rsidRPr="00682745">
        <w:t>(</w:t>
      </w:r>
      <w:r w:rsidR="000C6EAB" w:rsidRPr="00682745">
        <w:t>Part D Sponsors</w:t>
      </w:r>
      <w:r w:rsidRPr="00682745">
        <w:t>)</w:t>
      </w:r>
      <w:r w:rsidR="000C6EAB" w:rsidRPr="00FB013E">
        <w:rPr>
          <w:b/>
        </w:rPr>
        <w:t xml:space="preserve"> </w:t>
      </w:r>
      <w:r w:rsidR="000C6EAB" w:rsidRPr="007B1F78">
        <w:t xml:space="preserve"> Ensure timely and accurate submission of CY 201</w:t>
      </w:r>
      <w:r w:rsidR="00D40C85">
        <w:t>6</w:t>
      </w:r>
      <w:r w:rsidR="000C6EAB" w:rsidRPr="007B1F78">
        <w:t xml:space="preserve"> pricing data for posting on the </w:t>
      </w:r>
      <w:r w:rsidR="00931570">
        <w:t xml:space="preserve">Medicare </w:t>
      </w:r>
      <w:r w:rsidR="000C6EAB" w:rsidRPr="007B1F78">
        <w:t xml:space="preserve">Plan Finder. Sponsors are required to submit MPF data </w:t>
      </w:r>
      <w:r w:rsidR="003501E2">
        <w:t xml:space="preserve">during each regular submission window, which occurs </w:t>
      </w:r>
      <w:r w:rsidR="000C6EAB" w:rsidRPr="007B1F78">
        <w:t>every two weeks.</w:t>
      </w:r>
      <w:r w:rsidR="003501E2">
        <w:t xml:space="preserve"> Sponsors may not auto-certify their pharmacy cost files.  (HPMS memo </w:t>
      </w:r>
      <w:r w:rsidR="00D40C85">
        <w:t>6</w:t>
      </w:r>
      <w:r w:rsidR="00A24FBA">
        <w:t>/</w:t>
      </w:r>
      <w:r w:rsidR="00D40C85">
        <w:t>19</w:t>
      </w:r>
      <w:r w:rsidR="00A24FBA">
        <w:t>/201</w:t>
      </w:r>
      <w:r w:rsidR="00D40C85">
        <w:t>5</w:t>
      </w:r>
      <w:r w:rsidR="00A24FBA">
        <w:t>)</w:t>
      </w:r>
    </w:p>
    <w:p w:rsidR="007A677A" w:rsidRDefault="007A677A" w:rsidP="004473D0">
      <w:pPr>
        <w:pStyle w:val="ReadinessBullett2"/>
      </w:pPr>
      <w:r>
        <w:t>Ensure preferred</w:t>
      </w:r>
      <w:r w:rsidR="00A24FBA">
        <w:t xml:space="preserve"> cost-sharing</w:t>
      </w:r>
      <w:r>
        <w:t xml:space="preserve"> pharmacy arrangements are accurately identified in MPF pricing files</w:t>
      </w:r>
      <w:r w:rsidR="00C01304">
        <w:t xml:space="preserve">. A pharmacy may only be associated with the plan’s preferred </w:t>
      </w:r>
      <w:r w:rsidR="00A24FBA">
        <w:t xml:space="preserve">cost-sharing </w:t>
      </w:r>
      <w:r w:rsidR="00C01304">
        <w:t xml:space="preserve">network if a lower differential cost sharing applies to some tiers of formulary drugs at that pharmacy than applies at pharmacies in the </w:t>
      </w:r>
      <w:r w:rsidR="00A24FBA">
        <w:t>standard cost-sharing</w:t>
      </w:r>
      <w:r w:rsidR="00C01304">
        <w:t xml:space="preserve"> network. </w:t>
      </w:r>
    </w:p>
    <w:p w:rsidR="00966566" w:rsidRDefault="00966566" w:rsidP="004473D0">
      <w:pPr>
        <w:pStyle w:val="ReadinessBullett2"/>
      </w:pPr>
      <w:r>
        <w:lastRenderedPageBreak/>
        <w:t>Confirm</w:t>
      </w:r>
      <w:r w:rsidRPr="007B1F78">
        <w:t xml:space="preserve"> pricing and pharmacy network data files for MPF</w:t>
      </w:r>
      <w:r>
        <w:t xml:space="preserve"> are correct and accurate, </w:t>
      </w:r>
      <w:r w:rsidRPr="007B1F78">
        <w:t>and that only pharmacies under contract for 201</w:t>
      </w:r>
      <w:r w:rsidR="00B4451C">
        <w:t>6</w:t>
      </w:r>
      <w:r w:rsidRPr="007B1F78">
        <w:t xml:space="preserve"> are included for display.</w:t>
      </w:r>
      <w:r>
        <w:t xml:space="preserve"> Incorrect data may result in suppression from the Medicare Plan Finder, and/or applicable compliance actions. </w:t>
      </w:r>
    </w:p>
    <w:p w:rsidR="005C5A7C" w:rsidRDefault="00F70151" w:rsidP="000C2F8C">
      <w:pPr>
        <w:pStyle w:val="OutlineParagraph"/>
        <w:ind w:left="720"/>
      </w:pPr>
      <w:r>
        <w:t>(</w:t>
      </w:r>
      <w:r w:rsidR="005C5A7C">
        <w:t>CY 2016 Pricing Data Requirements – 6/16/2015</w:t>
      </w:r>
      <w:r>
        <w:t>)</w:t>
      </w:r>
    </w:p>
    <w:p w:rsidR="00EF6286" w:rsidRDefault="00B4451C" w:rsidP="009722A9">
      <w:pPr>
        <w:pStyle w:val="ReadinessBullett1"/>
      </w:pPr>
      <w:r>
        <w:rPr>
          <w:b/>
        </w:rPr>
        <w:t>MPF File Pre-Submission Quality Assurance Testing</w:t>
      </w:r>
      <w:r w:rsidR="000C6EAB" w:rsidRPr="007B1F78">
        <w:rPr>
          <w:b/>
        </w:rPr>
        <w:t>.</w:t>
      </w:r>
      <w:r>
        <w:rPr>
          <w:b/>
        </w:rPr>
        <w:t xml:space="preserve">  </w:t>
      </w:r>
      <w:r>
        <w:t>(Part D Sponsors)</w:t>
      </w:r>
      <w:r w:rsidR="000C6EAB" w:rsidRPr="007B1F78">
        <w:t xml:space="preserve"> </w:t>
      </w:r>
      <w:r w:rsidR="009D2EC2">
        <w:t>Ensure your organization performs quality assurance activities prior to submitting MPF files to CMS.</w:t>
      </w:r>
      <w:r w:rsidR="00EF6286">
        <w:t xml:space="preserve"> </w:t>
      </w:r>
      <w:r w:rsidR="002972B6">
        <w:t>S</w:t>
      </w:r>
      <w:r w:rsidR="002972B6" w:rsidRPr="00EF6286">
        <w:t>ponsors may be subject to Part D pro</w:t>
      </w:r>
      <w:r w:rsidR="002972B6">
        <w:t>gram compliance and enforcement a</w:t>
      </w:r>
      <w:r w:rsidR="002972B6" w:rsidRPr="00EF6286">
        <w:t>ctions as a result of MPF suppressions or inaccurate data submissions.</w:t>
      </w:r>
    </w:p>
    <w:p w:rsidR="00687A65" w:rsidRDefault="00687A65" w:rsidP="004473D0">
      <w:pPr>
        <w:pStyle w:val="ReadinessBullett2"/>
      </w:pPr>
      <w:r>
        <w:t xml:space="preserve">If </w:t>
      </w:r>
      <w:r w:rsidR="001A0022">
        <w:t>your organization</w:t>
      </w:r>
      <w:r w:rsidRPr="00EF6286">
        <w:t xml:space="preserve"> receives an outlier notification for </w:t>
      </w:r>
      <w:r w:rsidR="001A0022">
        <w:t>you</w:t>
      </w:r>
      <w:r w:rsidRPr="00EF6286">
        <w:t>r 201</w:t>
      </w:r>
      <w:r w:rsidR="00E41DA4">
        <w:t>6</w:t>
      </w:r>
      <w:r w:rsidRPr="00EF6286">
        <w:t xml:space="preserve"> pricing and pharmacy data which was previously a known exception in 201</w:t>
      </w:r>
      <w:r w:rsidR="00E41DA4">
        <w:t>5</w:t>
      </w:r>
      <w:r w:rsidRPr="00EF6286">
        <w:t xml:space="preserve">, </w:t>
      </w:r>
      <w:r w:rsidR="001A0022">
        <w:t>your organizat</w:t>
      </w:r>
      <w:r w:rsidR="00A24FBA">
        <w:t>i</w:t>
      </w:r>
      <w:r w:rsidR="001A0022">
        <w:t>on</w:t>
      </w:r>
      <w:r w:rsidRPr="00EF6286">
        <w:t xml:space="preserve"> must re-confirm that the data continue to be accurate. If </w:t>
      </w:r>
      <w:r w:rsidR="001A0022">
        <w:t>you</w:t>
      </w:r>
      <w:r w:rsidRPr="00EF6286">
        <w:t xml:space="preserve"> do not confirm these data, </w:t>
      </w:r>
      <w:r w:rsidRPr="00687A65">
        <w:t>sponsors may have their pricing data suppressed on the</w:t>
      </w:r>
      <w:r>
        <w:t xml:space="preserve"> MPF.</w:t>
      </w:r>
    </w:p>
    <w:p w:rsidR="00EF6286" w:rsidRPr="00EF6286" w:rsidRDefault="00EF6286" w:rsidP="004473D0">
      <w:pPr>
        <w:pStyle w:val="ReadinessBullett2"/>
      </w:pPr>
      <w:r w:rsidRPr="00EF6286">
        <w:t xml:space="preserve">MPF submissions must be complete and accurate in all respects, and sponsors are solely accountable for any errors in their MPF data, regardless of how they come to CMS’s attention. Because of the critical role the MPF plays in providing beneficiaries with reliable information about their drug plan options, CMS will suppress the display of a sponsor’s plan information as the result of any identified inaccuracy or failure to respond to a CMS inquiry about a data submission. </w:t>
      </w:r>
    </w:p>
    <w:p w:rsidR="00FB003F" w:rsidRPr="007B1F78" w:rsidRDefault="00B4451C" w:rsidP="009722A9">
      <w:pPr>
        <w:pStyle w:val="ReadinessBullett1"/>
      </w:pPr>
      <w:r>
        <w:rPr>
          <w:b/>
        </w:rPr>
        <w:t xml:space="preserve">MPF Communications Website.  </w:t>
      </w:r>
      <w:r w:rsidRPr="00FB013E">
        <w:t>(</w:t>
      </w:r>
      <w:r w:rsidR="00DD5850" w:rsidRPr="00FB013E">
        <w:t xml:space="preserve">New </w:t>
      </w:r>
      <w:r w:rsidR="00DD5850" w:rsidRPr="00682745">
        <w:t>201</w:t>
      </w:r>
      <w:r w:rsidR="002972B6" w:rsidRPr="00682745">
        <w:t>6</w:t>
      </w:r>
      <w:r w:rsidR="00DD5850" w:rsidRPr="00682745">
        <w:t xml:space="preserve"> Medicare Advantage</w:t>
      </w:r>
      <w:r w:rsidR="00B80E5B">
        <w:t xml:space="preserve"> Organizations</w:t>
      </w:r>
      <w:r w:rsidR="00DD5850" w:rsidRPr="00682745">
        <w:t xml:space="preserve"> and Part D Sponsors</w:t>
      </w:r>
      <w:r w:rsidRPr="00682745">
        <w:t>)</w:t>
      </w:r>
      <w:r w:rsidR="00326733" w:rsidRPr="00B4451C">
        <w:t xml:space="preserve"> </w:t>
      </w:r>
      <w:r w:rsidR="00326733" w:rsidRPr="007B1F78">
        <w:t>Ensure your organization has ac</w:t>
      </w:r>
      <w:r w:rsidR="000C1F72" w:rsidRPr="007B1F78">
        <w:t xml:space="preserve">cess to the </w:t>
      </w:r>
      <w:r w:rsidR="00326733" w:rsidRPr="007B1F78">
        <w:t xml:space="preserve">MPF Communications website and has authorized new users. </w:t>
      </w:r>
      <w:r w:rsidR="00E02CF1" w:rsidRPr="007B1F78">
        <w:t>Updates and announcements relating to the quality assurance (QA) process are posted on the MPF Communication website</w:t>
      </w:r>
      <w:r w:rsidR="00180CD7">
        <w:t xml:space="preserve">, </w:t>
      </w:r>
      <w:r w:rsidR="002C39F8" w:rsidRPr="002C39F8">
        <w:t>https://PartD.ProgramInfo.us/User_Security</w:t>
      </w:r>
      <w:r w:rsidR="00180CD7">
        <w:t>.</w:t>
      </w:r>
      <w:r w:rsidR="00326733" w:rsidRPr="007B1F78">
        <w:t xml:space="preserve">  </w:t>
      </w:r>
    </w:p>
    <w:p w:rsidR="00FB003F" w:rsidRPr="007B1F78" w:rsidRDefault="00EB0C1D" w:rsidP="00CD7797">
      <w:pPr>
        <w:pStyle w:val="ReadinessOutlineI"/>
      </w:pPr>
      <w:r w:rsidRPr="007B1F78">
        <w:lastRenderedPageBreak/>
        <w:t>User Group Calls – Medicare Advantage Organizations and Part D Sponsors</w:t>
      </w:r>
    </w:p>
    <w:p w:rsidR="00FB003F" w:rsidRPr="007B1F78" w:rsidRDefault="00EB0C1D" w:rsidP="002C39F8">
      <w:pPr>
        <w:pStyle w:val="ReadinessBullett1"/>
        <w:numPr>
          <w:ilvl w:val="0"/>
          <w:numId w:val="0"/>
        </w:numPr>
        <w:ind w:left="360"/>
      </w:pPr>
      <w:r w:rsidRPr="007B1F78">
        <w:t>Ensure key staff register</w:t>
      </w:r>
      <w:r w:rsidR="0030634A" w:rsidRPr="007B1F78">
        <w:t>s</w:t>
      </w:r>
      <w:r w:rsidRPr="007B1F78">
        <w:t xml:space="preserve"> for the CMS Part C &amp; D User Calls at </w:t>
      </w:r>
      <w:hyperlink r:id="rId16" w:history="1">
        <w:r w:rsidR="00C827AA" w:rsidRPr="00D96512">
          <w:rPr>
            <w:rStyle w:val="Hyperlink"/>
          </w:rPr>
          <w:t>http</w:t>
        </w:r>
        <w:r w:rsidR="004A056B" w:rsidRPr="00D96512">
          <w:rPr>
            <w:rStyle w:val="Hyperlink"/>
          </w:rPr>
          <w:t>s</w:t>
        </w:r>
        <w:r w:rsidR="00C827AA" w:rsidRPr="00D96512">
          <w:rPr>
            <w:rStyle w:val="Hyperlink"/>
          </w:rPr>
          <w:t>://www.mscginc.com/registration</w:t>
        </w:r>
        <w:r w:rsidR="008B128C" w:rsidRPr="00D96512">
          <w:rPr>
            <w:rStyle w:val="Hyperlink"/>
          </w:rPr>
          <w:t>/</w:t>
        </w:r>
      </w:hyperlink>
      <w:r w:rsidRPr="008B128C">
        <w:t>.</w:t>
      </w:r>
      <w:r w:rsidR="00674FD1">
        <w:t xml:space="preserve"> </w:t>
      </w:r>
      <w:r w:rsidR="00DA1B3D" w:rsidRPr="007B1F78">
        <w:t>Participants should</w:t>
      </w:r>
      <w:r w:rsidRPr="007B1F78">
        <w:t xml:space="preserve"> call </w:t>
      </w:r>
      <w:r w:rsidR="00D45880" w:rsidRPr="007B1F78">
        <w:t xml:space="preserve">fifteen </w:t>
      </w:r>
      <w:r w:rsidRPr="007B1F78">
        <w:t xml:space="preserve">minutes before start time to </w:t>
      </w:r>
      <w:r w:rsidR="008A013C">
        <w:t>ensure timely access to the call.</w:t>
      </w:r>
    </w:p>
    <w:p w:rsidR="00FB003F" w:rsidRPr="007B1F78" w:rsidRDefault="00E10D4A" w:rsidP="00CD7797">
      <w:pPr>
        <w:pStyle w:val="ReadinessOutlineI"/>
      </w:pPr>
      <w:r w:rsidRPr="007B1F78">
        <w:t>Patient Safety Analysis Website</w:t>
      </w:r>
      <w:r w:rsidR="00173391" w:rsidRPr="007B1F78">
        <w:t xml:space="preserve"> – Part D Sponsors</w:t>
      </w:r>
    </w:p>
    <w:p w:rsidR="009C182B" w:rsidRPr="001210AB" w:rsidRDefault="007F7502" w:rsidP="009722A9">
      <w:pPr>
        <w:pStyle w:val="ReadinessBullett1"/>
      </w:pPr>
      <w:r w:rsidRPr="001210AB">
        <w:t>E</w:t>
      </w:r>
      <w:r w:rsidR="00790442" w:rsidRPr="001210AB">
        <w:t xml:space="preserve">nsure </w:t>
      </w:r>
      <w:r w:rsidRPr="001210AB">
        <w:t>your organization accesses the m</w:t>
      </w:r>
      <w:r w:rsidR="00790442" w:rsidRPr="001210AB">
        <w:t>onthly Patient Safety Reports via the Patient Safety Analysis Website</w:t>
      </w:r>
      <w:r w:rsidR="00180CD7" w:rsidRPr="001210AB">
        <w:t xml:space="preserve"> </w:t>
      </w:r>
      <w:r w:rsidR="00790442" w:rsidRPr="001210AB">
        <w:t xml:space="preserve">to compare their performance to overall averages and monitor their progress in improving Part D patient safety measures over time. </w:t>
      </w:r>
    </w:p>
    <w:p w:rsidR="00790442" w:rsidRPr="001210AB" w:rsidRDefault="00790442" w:rsidP="009722A9">
      <w:pPr>
        <w:pStyle w:val="ReadinessBullett1"/>
      </w:pPr>
      <w:r w:rsidRPr="001210AB">
        <w:t>These actionable reports include contract-level patient safety reports for expanded analyses and information and detailed beneficiary-claim level and outlier reports.</w:t>
      </w:r>
      <w:r w:rsidR="00CF4C43" w:rsidRPr="001210AB">
        <w:t xml:space="preserve"> Be advised, </w:t>
      </w:r>
      <w:r w:rsidR="00180CD7" w:rsidRPr="001210AB">
        <w:t>s</w:t>
      </w:r>
      <w:r w:rsidR="00CF4C43" w:rsidRPr="001210AB">
        <w:t>ponsors are required to use the website to view and download the reports and should be engaged in performance monitoring.</w:t>
      </w:r>
      <w:r w:rsidR="007F7502" w:rsidRPr="001210AB">
        <w:t xml:space="preserve"> (</w:t>
      </w:r>
      <w:r w:rsidR="00E772E1" w:rsidRPr="001210AB">
        <w:t>HPMS memo 04/08/2015</w:t>
      </w:r>
      <w:r w:rsidR="007F7502" w:rsidRPr="001210AB">
        <w:t>)</w:t>
      </w:r>
    </w:p>
    <w:p w:rsidR="0030634A" w:rsidRPr="001210AB" w:rsidRDefault="00790442" w:rsidP="009722A9">
      <w:pPr>
        <w:pStyle w:val="ReadinessBullett1"/>
      </w:pPr>
      <w:r w:rsidRPr="001210AB">
        <w:t xml:space="preserve">New sponsors for </w:t>
      </w:r>
      <w:r w:rsidR="00800EA8" w:rsidRPr="001210AB">
        <w:t>201</w:t>
      </w:r>
      <w:r w:rsidR="00E772E1" w:rsidRPr="001210AB">
        <w:t>6</w:t>
      </w:r>
      <w:r w:rsidR="007F7502" w:rsidRPr="001210AB">
        <w:t xml:space="preserve"> </w:t>
      </w:r>
      <w:r w:rsidR="00EE2A91" w:rsidRPr="001210AB">
        <w:t>–</w:t>
      </w:r>
      <w:r w:rsidR="00800EA8" w:rsidRPr="001210AB">
        <w:t xml:space="preserve"> </w:t>
      </w:r>
      <w:r w:rsidR="009B4028" w:rsidRPr="001210AB">
        <w:t>Y</w:t>
      </w:r>
      <w:r w:rsidR="00EE2A91" w:rsidRPr="001210AB">
        <w:t xml:space="preserve">our organization will receive log-on credentials directly from the Patient Safety Analysis Website contractor, and you will </w:t>
      </w:r>
      <w:r w:rsidRPr="001210AB">
        <w:t xml:space="preserve">begin reviewing these reports in spring of </w:t>
      </w:r>
      <w:r w:rsidR="00800EA8" w:rsidRPr="001210AB">
        <w:t>201</w:t>
      </w:r>
      <w:r w:rsidR="00E772E1" w:rsidRPr="001210AB">
        <w:t>6</w:t>
      </w:r>
      <w:r w:rsidR="0030634A" w:rsidRPr="001210AB">
        <w:t>.</w:t>
      </w:r>
    </w:p>
    <w:p w:rsidR="00C827AA" w:rsidRDefault="00FA0539" w:rsidP="00CD7797">
      <w:pPr>
        <w:pStyle w:val="ReadinessOutlineI"/>
      </w:pPr>
      <w:r>
        <w:t>Overutilization Monitoring System – Part D Sponsors</w:t>
      </w:r>
      <w:r w:rsidR="00D061E8">
        <w:t xml:space="preserve"> </w:t>
      </w:r>
    </w:p>
    <w:p w:rsidR="00B62D9C" w:rsidRDefault="00B62D9C" w:rsidP="009722A9">
      <w:pPr>
        <w:pStyle w:val="ReadinessBullett1"/>
      </w:pPr>
      <w:r>
        <w:t>Ensure Medicare Compliance Officer authorizes users to access the Overutilization Monitoring System (OMS), available via the Patient Safety Analysis Website.</w:t>
      </w:r>
      <w:r w:rsidR="0098240F">
        <w:t xml:space="preserve">  A</w:t>
      </w:r>
      <w:r w:rsidR="0098240F" w:rsidRPr="0098240F">
        <w:t>t least one user from each contract must have access to Summary and Confidential Beneficiary Reports to view and respond to beneficiary-level overutilization issues</w:t>
      </w:r>
      <w:r w:rsidR="0098240F">
        <w:t>.</w:t>
      </w:r>
    </w:p>
    <w:p w:rsidR="006A27A4" w:rsidRPr="006A27A4" w:rsidRDefault="000E793C" w:rsidP="009722A9">
      <w:pPr>
        <w:pStyle w:val="ReadinessBullett1"/>
      </w:pPr>
      <w:r w:rsidRPr="00851321">
        <w:t>Ensure the OMS quarterly reports are reviewed and acted upon and CMS receives a response within 30 days of the report. For additional information, the OMS User Guide is available on the Patient Safety Analysis Website under Help Documents. (</w:t>
      </w:r>
      <w:r w:rsidR="00E1328D">
        <w:t>HPMS memo 04/08/2015</w:t>
      </w:r>
      <w:r w:rsidRPr="00851321">
        <w:t xml:space="preserve">; also see </w:t>
      </w:r>
      <w:r w:rsidR="00851321">
        <w:t>S</w:t>
      </w:r>
      <w:r w:rsidRPr="00851321">
        <w:t xml:space="preserve">ection </w:t>
      </w:r>
      <w:r w:rsidRPr="00CA1475">
        <w:t>H.</w:t>
      </w:r>
      <w:r w:rsidR="00214148" w:rsidRPr="00CA1475">
        <w:t>VI of this document</w:t>
      </w:r>
      <w:r w:rsidRPr="00CA1475">
        <w:t>.</w:t>
      </w:r>
      <w:r w:rsidRPr="00851321">
        <w:rPr>
          <w:i/>
        </w:rPr>
        <w:t xml:space="preserve"> Improving Drug Utilization Controls in Part D</w:t>
      </w:r>
      <w:r w:rsidRPr="00851321">
        <w:t>)</w:t>
      </w:r>
    </w:p>
    <w:p w:rsidR="006A4BB0" w:rsidRPr="00E46465" w:rsidRDefault="006A4BB0" w:rsidP="00CD7797">
      <w:pPr>
        <w:pStyle w:val="ReadinessOutlineI"/>
      </w:pPr>
      <w:r w:rsidRPr="00E46465">
        <w:lastRenderedPageBreak/>
        <w:t>Prescription Drug Event (PDE) Requirements – Part D Sponsors</w:t>
      </w:r>
    </w:p>
    <w:p w:rsidR="000571E8" w:rsidRPr="000571E8" w:rsidRDefault="004473D0" w:rsidP="009722A9">
      <w:pPr>
        <w:pStyle w:val="ReadinessBullett1"/>
      </w:pPr>
      <w:r>
        <w:t>S</w:t>
      </w:r>
      <w:r w:rsidR="000571E8" w:rsidRPr="00E46465">
        <w:t>ubmit timely PDE records (</w:t>
      </w:r>
      <w:r w:rsidR="00E10417">
        <w:t>HPMS memo 05/16/2011</w:t>
      </w:r>
      <w:r w:rsidR="000571E8" w:rsidRPr="00FD03C4">
        <w:t>)</w:t>
      </w:r>
    </w:p>
    <w:p w:rsidR="000571E8" w:rsidRPr="00E46465" w:rsidRDefault="000571E8" w:rsidP="004473D0">
      <w:pPr>
        <w:pStyle w:val="ReadinessBullett2"/>
      </w:pPr>
      <w:r w:rsidRPr="00E46465">
        <w:t xml:space="preserve">Submit original PDEs within 30 days following Date Claim Received or Date of Service (whichever is later), </w:t>
      </w:r>
    </w:p>
    <w:p w:rsidR="000571E8" w:rsidRPr="00E46465" w:rsidRDefault="000571E8" w:rsidP="004473D0">
      <w:pPr>
        <w:pStyle w:val="ReadinessBullett2"/>
      </w:pPr>
      <w:r w:rsidRPr="00E46465">
        <w:t>Resolve rejected records and re-submit within 90 days following receipt of rejected record status from CMS, and</w:t>
      </w:r>
    </w:p>
    <w:p w:rsidR="000571E8" w:rsidRDefault="000571E8" w:rsidP="004473D0">
      <w:pPr>
        <w:pStyle w:val="ReadinessBullett2"/>
      </w:pPr>
      <w:r w:rsidRPr="00E46465">
        <w:t>Submit adjustments and deletions within 90 days following discovery of issue requiring change</w:t>
      </w:r>
      <w:r>
        <w:t>.</w:t>
      </w:r>
    </w:p>
    <w:p w:rsidR="000571E8" w:rsidRDefault="004473D0" w:rsidP="009722A9">
      <w:pPr>
        <w:pStyle w:val="ReadinessBullett1"/>
      </w:pPr>
      <w:r>
        <w:t>P</w:t>
      </w:r>
      <w:r w:rsidR="000571E8" w:rsidRPr="00E46465">
        <w:t>romptly resolve rejected PDE records and take corrective action to prevent a recurrence of the issue.</w:t>
      </w:r>
    </w:p>
    <w:p w:rsidR="00A516DC" w:rsidRPr="00E46465" w:rsidRDefault="004473D0" w:rsidP="00A516DC">
      <w:pPr>
        <w:pStyle w:val="ReadinessBullett1"/>
      </w:pPr>
      <w:r>
        <w:t>E</w:t>
      </w:r>
      <w:r w:rsidR="00A516DC" w:rsidRPr="00A516DC">
        <w:t xml:space="preserve">stablish access to Acumen’s Part D Payment Process Support Website.  (HPMS memo 10/24/2013) </w:t>
      </w:r>
    </w:p>
    <w:p w:rsidR="006A4BB0" w:rsidRPr="00E46465" w:rsidRDefault="004473D0" w:rsidP="009722A9">
      <w:pPr>
        <w:pStyle w:val="ReadinessBullett1"/>
      </w:pPr>
      <w:r>
        <w:t>Establish</w:t>
      </w:r>
      <w:r w:rsidR="006A4BB0" w:rsidRPr="00E46465">
        <w:t xml:space="preserve"> access to Acumen’s PDE Analysis and PDE Reports websites</w:t>
      </w:r>
      <w:r w:rsidR="00FD03C4">
        <w:t xml:space="preserve">.  (HPMS memo </w:t>
      </w:r>
      <w:r w:rsidR="00E41DA4">
        <w:t>04/21/2015</w:t>
      </w:r>
      <w:r w:rsidR="00FD03C4">
        <w:t>)</w:t>
      </w:r>
      <w:r w:rsidR="006A4BB0" w:rsidRPr="00E46465">
        <w:rPr>
          <w:color w:val="1F497D"/>
        </w:rPr>
        <w:t xml:space="preserve"> </w:t>
      </w:r>
    </w:p>
    <w:p w:rsidR="00826260" w:rsidRDefault="004473D0" w:rsidP="009722A9">
      <w:pPr>
        <w:pStyle w:val="ReadinessBullett1"/>
      </w:pPr>
      <w:r>
        <w:t>Have</w:t>
      </w:r>
      <w:r w:rsidR="006A4BB0" w:rsidRPr="00E46465">
        <w:t xml:space="preserve"> procedures in place for analysis of recurring reports </w:t>
      </w:r>
      <w:r w:rsidR="00295958">
        <w:t>so</w:t>
      </w:r>
      <w:r w:rsidR="006A4BB0" w:rsidRPr="00E46465">
        <w:t xml:space="preserve"> that PDE data maintained by CMS (which are the basis for Part D Payment Reconciliation) and the organization’s internal records correspond. CMS reports include:</w:t>
      </w:r>
    </w:p>
    <w:p w:rsidR="00826260" w:rsidRDefault="006A4BB0" w:rsidP="004473D0">
      <w:pPr>
        <w:pStyle w:val="ReadinessBullett2"/>
      </w:pPr>
      <w:r w:rsidRPr="00E46465">
        <w:t>Drug Data Processing System (DDPS) Cumulative Beneficiary Summary,</w:t>
      </w:r>
    </w:p>
    <w:p w:rsidR="00826260" w:rsidRDefault="006A4BB0" w:rsidP="004473D0">
      <w:pPr>
        <w:pStyle w:val="ReadinessBullett2"/>
      </w:pPr>
      <w:r w:rsidRPr="00E46465">
        <w:t>PDE Accounting Report,</w:t>
      </w:r>
    </w:p>
    <w:p w:rsidR="00826260" w:rsidRDefault="00A516DC" w:rsidP="004473D0">
      <w:pPr>
        <w:pStyle w:val="ReadinessBullett2"/>
      </w:pPr>
      <w:r>
        <w:t>P2P (Plan to Plan) files,</w:t>
      </w:r>
    </w:p>
    <w:p w:rsidR="006A4BB0" w:rsidRDefault="00A516DC" w:rsidP="004473D0">
      <w:pPr>
        <w:pStyle w:val="ReadinessBullett2"/>
      </w:pPr>
      <w:r>
        <w:t>Coverage Gap Invoice Report,</w:t>
      </w:r>
    </w:p>
    <w:p w:rsidR="00A516DC" w:rsidRDefault="00A516DC" w:rsidP="004473D0">
      <w:pPr>
        <w:pStyle w:val="ReadinessBullett2"/>
      </w:pPr>
      <w:r>
        <w:t>Part D Potential Exclusion Warning Report and Part D Exclusion from Reconciliation Report (See HPMS memo 4/16/14), and</w:t>
      </w:r>
    </w:p>
    <w:p w:rsidR="00A516DC" w:rsidRPr="00826260" w:rsidRDefault="00A516DC" w:rsidP="004473D0">
      <w:pPr>
        <w:pStyle w:val="ReadinessBullett2"/>
      </w:pPr>
      <w:r>
        <w:t>Payment Reconciliation System (PRS) reports.</w:t>
      </w:r>
    </w:p>
    <w:p w:rsidR="00FD03C4" w:rsidRDefault="00FD03C4" w:rsidP="00CD7797">
      <w:pPr>
        <w:pStyle w:val="ReadinessOutlineI"/>
      </w:pPr>
      <w:r>
        <w:t>Electronic Enrollment Mechanisms</w:t>
      </w:r>
    </w:p>
    <w:p w:rsidR="00FD03C4" w:rsidRPr="00FD03C4" w:rsidRDefault="00FD03C4" w:rsidP="009722A9">
      <w:pPr>
        <w:pStyle w:val="ReadinessBullett1"/>
      </w:pPr>
      <w:r w:rsidRPr="00FD03C4">
        <w:lastRenderedPageBreak/>
        <w:t>Organizations developing and offering electronic enrollment mechanisms made available via a</w:t>
      </w:r>
      <w:r w:rsidR="008B240A">
        <w:t>n</w:t>
      </w:r>
      <w:r w:rsidRPr="00FD03C4">
        <w:t xml:space="preserve"> electronic device or secure internet website must ensure that CMS’ </w:t>
      </w:r>
      <w:r w:rsidR="00E1328D">
        <w:t xml:space="preserve">enrollment </w:t>
      </w:r>
      <w:r w:rsidRPr="00FD03C4">
        <w:t>guidelines are applied to electronic enrollment mechanisms:</w:t>
      </w:r>
    </w:p>
    <w:p w:rsidR="008B240A" w:rsidRPr="008B240A" w:rsidRDefault="00921356" w:rsidP="004473D0">
      <w:pPr>
        <w:pStyle w:val="ReadinessBullett2"/>
      </w:pPr>
      <w:r w:rsidRPr="00DC479F">
        <w:t xml:space="preserve">Submit </w:t>
      </w:r>
      <w:r w:rsidRPr="008B240A">
        <w:t>all materials, web pages, and images (e.g. screen shots) related to the electronic enrollment process for CMS approval per established processes for the review and approval of marketing materials and other enrollment request mechanisms.</w:t>
      </w:r>
    </w:p>
    <w:p w:rsidR="00921356" w:rsidRPr="008B240A" w:rsidRDefault="00921356" w:rsidP="004473D0">
      <w:pPr>
        <w:pStyle w:val="ReadinessBullett2"/>
        <w:rPr>
          <w:rFonts w:ascii="Times New Roman" w:hAnsi="Times New Roman"/>
          <w:sz w:val="23"/>
          <w:szCs w:val="23"/>
        </w:rPr>
      </w:pPr>
      <w:r w:rsidRPr="008B240A">
        <w:t>Comply with CMS’</w:t>
      </w:r>
      <w:r w:rsidR="00A802FC">
        <w:t>s</w:t>
      </w:r>
      <w:r w:rsidRPr="008B240A">
        <w:t xml:space="preserve"> data security policies, at a minimum. </w:t>
      </w:r>
      <w:hyperlink r:id="rId17" w:history="1">
        <w:r w:rsidRPr="006D003A">
          <w:rPr>
            <w:rStyle w:val="Hyperlink"/>
          </w:rPr>
          <w:t>https://www.cms.gov/Research-Statistics-Data-and-Systems/CMS-Information-Technology/InformationSecurity/Information-Security-Library.html</w:t>
        </w:r>
      </w:hyperlink>
      <w:r w:rsidRPr="008B240A">
        <w:rPr>
          <w:rFonts w:ascii="Times New Roman" w:hAnsi="Times New Roman"/>
          <w:sz w:val="23"/>
          <w:szCs w:val="23"/>
        </w:rPr>
        <w:t xml:space="preserve"> </w:t>
      </w:r>
    </w:p>
    <w:p w:rsidR="00E10417" w:rsidRDefault="00E10417" w:rsidP="009722A9">
      <w:pPr>
        <w:pStyle w:val="ReadinessBullett1"/>
      </w:pPr>
      <w:r>
        <w:t>S</w:t>
      </w:r>
      <w:r w:rsidRPr="00E10417">
        <w:t xml:space="preserve">ponsors retain complete responsibility for ensuring enrollment policies are followed, and for ensuring the appropriate handling of any sensitive beneficiary information provided as part of the online enrollment, including those facilitated by downstream entities. </w:t>
      </w:r>
    </w:p>
    <w:p w:rsidR="00154971" w:rsidRDefault="00E10417" w:rsidP="009722A9">
      <w:pPr>
        <w:pStyle w:val="ReadinessBullett1"/>
      </w:pPr>
      <w:r w:rsidRPr="00E10417">
        <w:t>From the point at which an individual selects the plan of his or her choice on the third-party website and begins the online enrollment process, CMS holds the organization responsible for the security and privacy of the information provided by the applicant and for the timely disclosure of any breaches.</w:t>
      </w:r>
    </w:p>
    <w:p w:rsidR="00154971" w:rsidRPr="00154971" w:rsidRDefault="00154971" w:rsidP="009722A9">
      <w:pPr>
        <w:pStyle w:val="ReadinessBullett1"/>
      </w:pPr>
      <w:r>
        <w:t>S</w:t>
      </w:r>
      <w:r w:rsidRPr="00154971">
        <w:t xml:space="preserve">ponsors retain complete responsibility for ensuring the appropriate handling of any sensitive beneficiary information provided as part of the online enrollment, including those facilitated by downstream entities. </w:t>
      </w:r>
      <w:r w:rsidRPr="00E10417" w:rsidDel="00154971">
        <w:t xml:space="preserve"> </w:t>
      </w:r>
    </w:p>
    <w:p w:rsidR="00DC479F" w:rsidRPr="00DC479F" w:rsidRDefault="00BA6DA7" w:rsidP="004C2F0F">
      <w:pPr>
        <w:pStyle w:val="OutlineParagraph"/>
        <w:rPr>
          <w:b/>
          <w:bCs/>
        </w:rPr>
      </w:pPr>
      <w:r w:rsidRPr="00DC479F">
        <w:t>(</w:t>
      </w:r>
      <w:r w:rsidR="00921356" w:rsidRPr="00115C2E">
        <w:rPr>
          <w:i/>
        </w:rPr>
        <w:t>Medicare Managed Care Manual Chapter</w:t>
      </w:r>
      <w:r w:rsidR="00921356" w:rsidRPr="00DC479F">
        <w:t xml:space="preserve"> 2 and </w:t>
      </w:r>
      <w:r w:rsidR="00921356" w:rsidRPr="00115C2E">
        <w:rPr>
          <w:i/>
        </w:rPr>
        <w:t>Medicare Prescription Drug Benefit Manual</w:t>
      </w:r>
      <w:r w:rsidR="00921356" w:rsidRPr="00DC479F">
        <w:t xml:space="preserve"> Chapter 3, Section </w:t>
      </w:r>
      <w:r w:rsidRPr="00DC479F">
        <w:t>40.1.2 – Electronic Enrollment)</w:t>
      </w:r>
    </w:p>
    <w:p w:rsidR="00140712" w:rsidRPr="009722A9" w:rsidRDefault="009626F9" w:rsidP="00DC479F">
      <w:pPr>
        <w:pStyle w:val="Heading1"/>
        <w:spacing w:before="120" w:after="120"/>
        <w:rPr>
          <w:rFonts w:ascii="Calibri" w:hAnsi="Calibri"/>
          <w:color w:val="000000" w:themeColor="text1"/>
        </w:rPr>
      </w:pPr>
      <w:bookmarkStart w:id="11" w:name="_Toc431964668"/>
      <w:r w:rsidRPr="009722A9">
        <w:rPr>
          <w:rFonts w:ascii="Calibri" w:hAnsi="Calibri"/>
          <w:color w:val="000000" w:themeColor="text1"/>
        </w:rPr>
        <w:t xml:space="preserve">B. </w:t>
      </w:r>
      <w:r w:rsidR="00D75300" w:rsidRPr="009722A9">
        <w:rPr>
          <w:rFonts w:ascii="Calibri" w:hAnsi="Calibri"/>
          <w:color w:val="000000" w:themeColor="text1"/>
        </w:rPr>
        <w:t>Reporting</w:t>
      </w:r>
      <w:bookmarkEnd w:id="11"/>
    </w:p>
    <w:p w:rsidR="00826260" w:rsidRPr="00DE68DB" w:rsidRDefault="00826260" w:rsidP="00CD7797">
      <w:pPr>
        <w:pStyle w:val="Outline1"/>
        <w:numPr>
          <w:ilvl w:val="0"/>
          <w:numId w:val="17"/>
        </w:numPr>
      </w:pPr>
      <w:r w:rsidRPr="00DE68DB">
        <w:t xml:space="preserve">Healthcare Effectiveness and Data and Information Set (HEDIS®), Health Outcomes Survey (HOS), and Consumer Assessment of Healthcare </w:t>
      </w:r>
      <w:r w:rsidRPr="00DE68DB">
        <w:lastRenderedPageBreak/>
        <w:t xml:space="preserve">Providers and Systems (CAHPS®) – </w:t>
      </w:r>
      <w:r w:rsidRPr="009722A9">
        <w:t>Medicare</w:t>
      </w:r>
      <w:r w:rsidRPr="00DE68DB">
        <w:t xml:space="preserve"> Advantage Organizations, Section 1876 Cost Plans, and Part D Sponsors  </w:t>
      </w:r>
    </w:p>
    <w:p w:rsidR="00826260" w:rsidRDefault="004473D0" w:rsidP="00111816">
      <w:pPr>
        <w:pStyle w:val="OutlineParagraph"/>
      </w:pPr>
      <w:r>
        <w:t>Prepare</w:t>
      </w:r>
      <w:r w:rsidR="00826260">
        <w:t xml:space="preserve"> to submit HEDIS, HOS, and CAHPS measures to the </w:t>
      </w:r>
      <w:r w:rsidR="00826260" w:rsidRPr="00111816">
        <w:t>appropriate</w:t>
      </w:r>
      <w:r w:rsidR="00826260">
        <w:t xml:space="preserve"> entity by the specified due date.  For a general overview of the Medicare Health Outcomes Survey program, visit </w:t>
      </w:r>
      <w:hyperlink r:id="rId18" w:history="1">
        <w:r w:rsidR="00826260" w:rsidRPr="00B5640E">
          <w:rPr>
            <w:rStyle w:val="Hyperlink"/>
          </w:rPr>
          <w:t>http://www.cms.gov/hos</w:t>
        </w:r>
      </w:hyperlink>
      <w:r w:rsidR="00826260">
        <w:t xml:space="preserve">. (HPMS memo </w:t>
      </w:r>
      <w:r w:rsidR="00395980">
        <w:t>10/9/2015</w:t>
      </w:r>
      <w:r w:rsidR="00826260">
        <w:t>)</w:t>
      </w:r>
    </w:p>
    <w:p w:rsidR="00870769" w:rsidRDefault="00870769" w:rsidP="00111816">
      <w:pPr>
        <w:pStyle w:val="OutlineParagraph"/>
      </w:pPr>
    </w:p>
    <w:p w:rsidR="00870769" w:rsidRDefault="00870769" w:rsidP="00111816">
      <w:pPr>
        <w:pStyle w:val="OutlineParagraph"/>
      </w:pPr>
    </w:p>
    <w:p w:rsidR="0098233D" w:rsidRPr="007B1F78" w:rsidRDefault="00D75300" w:rsidP="00CD7797">
      <w:pPr>
        <w:pStyle w:val="ReadinessOutlineI"/>
      </w:pPr>
      <w:r w:rsidRPr="007B1F78">
        <w:t>Part C and Part D Reporting Requirements</w:t>
      </w:r>
      <w:r w:rsidR="00733726" w:rsidRPr="007B1F78">
        <w:t xml:space="preserve"> – Medicare Advantage Organizations and Part D Sponsors</w:t>
      </w:r>
    </w:p>
    <w:p w:rsidR="0098233D" w:rsidRDefault="004473D0" w:rsidP="00826260">
      <w:pPr>
        <w:pStyle w:val="OutlineParagraph"/>
      </w:pPr>
      <w:r>
        <w:t>P</w:t>
      </w:r>
      <w:r w:rsidR="004B7621" w:rsidRPr="007B1F78">
        <w:t>repare to collect data on all Part C and Part D (as applicable) reporting requirements</w:t>
      </w:r>
      <w:r w:rsidR="0002053D">
        <w:t>;</w:t>
      </w:r>
      <w:r w:rsidR="004B7621" w:rsidRPr="007B1F78">
        <w:t xml:space="preserve"> conduct appropriate data validation</w:t>
      </w:r>
      <w:r w:rsidR="0002053D">
        <w:t>; and</w:t>
      </w:r>
      <w:r w:rsidR="004B7621" w:rsidRPr="007B1F78">
        <w:t xml:space="preserve"> submit data to CMS according to the requirements</w:t>
      </w:r>
      <w:r w:rsidR="0002053D">
        <w:t>.</w:t>
      </w:r>
      <w:r w:rsidR="0002053D" w:rsidRPr="0002053D">
        <w:t xml:space="preserve"> </w:t>
      </w:r>
      <w:r w:rsidR="004B7621" w:rsidRPr="007B1F78">
        <w:t>(HPMS</w:t>
      </w:r>
      <w:r w:rsidR="0002053D">
        <w:t xml:space="preserve"> memo </w:t>
      </w:r>
      <w:r w:rsidR="00FD03C4">
        <w:t>0</w:t>
      </w:r>
      <w:r w:rsidR="0002053D">
        <w:t>5/</w:t>
      </w:r>
      <w:r w:rsidR="00FD03C4">
        <w:t>0</w:t>
      </w:r>
      <w:r w:rsidR="0002053D">
        <w:t>7/2015)</w:t>
      </w:r>
    </w:p>
    <w:p w:rsidR="0098233D" w:rsidRDefault="0098233D" w:rsidP="00CD7797">
      <w:pPr>
        <w:pStyle w:val="ReadinessOutlineI"/>
      </w:pPr>
      <w:r w:rsidRPr="0098233D">
        <w:t>Reporting and Returning Medicare Advantage Organization and/or Sponsor Identified Overpayments</w:t>
      </w:r>
    </w:p>
    <w:p w:rsidR="002314F1" w:rsidRDefault="0098233D" w:rsidP="00826260">
      <w:pPr>
        <w:pStyle w:val="OutlineParagraph"/>
      </w:pPr>
      <w:r w:rsidRPr="0098233D">
        <w:t>Every organization offering a Medicare Advantage (MA) plan and/or sponsor offering Part D benefits  is required to report and return to CMS any overpayment it received no later than 60 days after the date on which the organization or sponsor identified the overpayment.</w:t>
      </w:r>
      <w:r w:rsidR="00F56A12">
        <w:t xml:space="preserve">  </w:t>
      </w:r>
      <w:r>
        <w:t>(HPMS memo</w:t>
      </w:r>
      <w:r w:rsidR="00F56A12">
        <w:t>s</w:t>
      </w:r>
      <w:r>
        <w:t xml:space="preserve"> 02/18/2015</w:t>
      </w:r>
      <w:r w:rsidR="0018762B">
        <w:t>, 8/28</w:t>
      </w:r>
      <w:r w:rsidR="00F56A12">
        <w:t>/2015</w:t>
      </w:r>
      <w:r>
        <w:t>)</w:t>
      </w:r>
    </w:p>
    <w:p w:rsidR="00826260" w:rsidRDefault="00FC2764" w:rsidP="00CD7797">
      <w:pPr>
        <w:pStyle w:val="ReadinessOutlineI"/>
      </w:pPr>
      <w:r w:rsidRPr="009F39A3">
        <w:t>Encounter Data</w:t>
      </w:r>
      <w:r w:rsidR="00FD03C4" w:rsidRPr="00FD03C4">
        <w:t xml:space="preserve"> </w:t>
      </w:r>
    </w:p>
    <w:p w:rsidR="00FC2764" w:rsidRPr="008B240A" w:rsidRDefault="00FD03C4" w:rsidP="00826260">
      <w:pPr>
        <w:pStyle w:val="OutlineParagraph"/>
        <w:rPr>
          <w:b/>
        </w:rPr>
      </w:pPr>
      <w:r w:rsidRPr="00FD03C4">
        <w:t>Part C sponsors sh</w:t>
      </w:r>
      <w:r>
        <w:t>all</w:t>
      </w:r>
      <w:r w:rsidR="00FC2764" w:rsidRPr="002314F1">
        <w:t xml:space="preserve"> submit encounter data</w:t>
      </w:r>
      <w:r>
        <w:t xml:space="preserve"> consistent with guidance and clarifications</w:t>
      </w:r>
      <w:r w:rsidR="00FC2764" w:rsidRPr="002314F1">
        <w:t xml:space="preserve">.  </w:t>
      </w:r>
      <w:r w:rsidR="00FC2764" w:rsidRPr="002C39F8">
        <w:rPr>
          <w:color w:val="212121"/>
        </w:rPr>
        <w:t>(HPMS memo 06/02/2015)</w:t>
      </w:r>
    </w:p>
    <w:p w:rsidR="00826260" w:rsidRDefault="00826260" w:rsidP="00CD7797">
      <w:pPr>
        <w:pStyle w:val="ReadinessOutlineI"/>
      </w:pPr>
      <w:r>
        <w:t xml:space="preserve">Fiscal Soundness </w:t>
      </w:r>
    </w:p>
    <w:p w:rsidR="00B04E4C" w:rsidRPr="002314F1" w:rsidRDefault="00B04E4C" w:rsidP="00826260">
      <w:pPr>
        <w:pStyle w:val="OutlineParagraph"/>
      </w:pPr>
      <w:r w:rsidRPr="00B04E4C">
        <w:t xml:space="preserve">Use the Fiscal Soundness Module in HPMS to </w:t>
      </w:r>
      <w:r>
        <w:t xml:space="preserve">submit </w:t>
      </w:r>
      <w:r w:rsidRPr="00B04E4C">
        <w:t>annual independently au</w:t>
      </w:r>
      <w:r>
        <w:t>dited</w:t>
      </w:r>
      <w:r w:rsidR="005C5A7C">
        <w:t xml:space="preserve"> annual</w:t>
      </w:r>
      <w:r>
        <w:t xml:space="preserve"> financial </w:t>
      </w:r>
      <w:r w:rsidR="005C5A7C">
        <w:t xml:space="preserve">statements </w:t>
      </w:r>
      <w:r>
        <w:t>and 2016</w:t>
      </w:r>
      <w:r w:rsidRPr="00B04E4C">
        <w:t xml:space="preserve"> quarterly financial statements.</w:t>
      </w:r>
      <w:r>
        <w:t xml:space="preserve"> (HPMS memo 3/27/2015)</w:t>
      </w:r>
    </w:p>
    <w:p w:rsidR="00D75300" w:rsidRPr="004C2F0F" w:rsidRDefault="00A2421A" w:rsidP="004C2F0F">
      <w:pPr>
        <w:pStyle w:val="Heading1"/>
        <w:tabs>
          <w:tab w:val="left" w:pos="7814"/>
        </w:tabs>
        <w:spacing w:after="120"/>
        <w:rPr>
          <w:rFonts w:ascii="Calibri" w:hAnsi="Calibri"/>
        </w:rPr>
      </w:pPr>
      <w:bookmarkStart w:id="12" w:name="_Toc431964669"/>
      <w:r w:rsidRPr="004C2F0F">
        <w:rPr>
          <w:rFonts w:ascii="Calibri" w:hAnsi="Calibri"/>
        </w:rPr>
        <w:lastRenderedPageBreak/>
        <w:t>C. Contracting, Subcontractor Provisions, and Oversight</w:t>
      </w:r>
      <w:bookmarkEnd w:id="12"/>
      <w:r w:rsidR="004C2F0F" w:rsidRPr="004C2F0F">
        <w:rPr>
          <w:rFonts w:ascii="Calibri" w:hAnsi="Calibri"/>
        </w:rPr>
        <w:tab/>
      </w:r>
    </w:p>
    <w:p w:rsidR="00FB003F" w:rsidRPr="007B1F78" w:rsidRDefault="008C5306" w:rsidP="00CD7797">
      <w:pPr>
        <w:pStyle w:val="Outline1"/>
        <w:numPr>
          <w:ilvl w:val="0"/>
          <w:numId w:val="18"/>
        </w:numPr>
      </w:pPr>
      <w:r>
        <w:t xml:space="preserve">Any Willing Pharmacy </w:t>
      </w:r>
      <w:r w:rsidR="00707AB5">
        <w:t xml:space="preserve">(AWP) </w:t>
      </w:r>
      <w:r w:rsidR="00D75300" w:rsidRPr="00864AA0">
        <w:t>Contracting Requirements</w:t>
      </w:r>
      <w:r w:rsidR="00D75300" w:rsidRPr="007B1F78">
        <w:t xml:space="preserve"> </w:t>
      </w:r>
      <w:r w:rsidR="00CA15B7" w:rsidRPr="007B1F78">
        <w:t>–</w:t>
      </w:r>
      <w:r w:rsidR="00FD03C4">
        <w:t xml:space="preserve"> </w:t>
      </w:r>
      <w:r w:rsidR="00CA15B7" w:rsidRPr="007B1F78">
        <w:t>Part D Sponsors</w:t>
      </w:r>
    </w:p>
    <w:p w:rsidR="008C5306" w:rsidRPr="002C39F8" w:rsidRDefault="008C5306" w:rsidP="009722A9">
      <w:pPr>
        <w:pStyle w:val="ReadinessBullett1"/>
      </w:pPr>
      <w:r w:rsidRPr="002C39F8">
        <w:t xml:space="preserve">To comply with the </w:t>
      </w:r>
      <w:r w:rsidR="00561CA0" w:rsidRPr="002C39F8">
        <w:t>Any Willing Pharmacy</w:t>
      </w:r>
      <w:r w:rsidRPr="002C39F8">
        <w:t xml:space="preserve"> requirement, a Part D plan sponsor must make standard terms and conditions available for all Part D plans it offers. For those terms to be reasonable and relevant, they must identify for the pharmacy the plan(s) to which they apply, and the offer must include language that obligates the Part D sponsor to include the pharmacy in the identified plan(s) upon the pharmacy’s acceptance of the terms and conditions.</w:t>
      </w:r>
      <w:r w:rsidR="00FD03C4" w:rsidRPr="002C39F8">
        <w:t xml:space="preserve">  </w:t>
      </w:r>
      <w:r w:rsidRPr="002C39F8">
        <w:t>(</w:t>
      </w:r>
      <w:r w:rsidR="00C15C0F" w:rsidRPr="002C39F8">
        <w:t>HPMS memo</w:t>
      </w:r>
      <w:r w:rsidRPr="002C39F8">
        <w:t xml:space="preserve"> 08/13/</w:t>
      </w:r>
      <w:r w:rsidR="00212ADF" w:rsidRPr="002C39F8">
        <w:t>20</w:t>
      </w:r>
      <w:r w:rsidRPr="002C39F8">
        <w:t>15)</w:t>
      </w:r>
    </w:p>
    <w:p w:rsidR="00212ADF" w:rsidRPr="002C39F8" w:rsidRDefault="00212ADF" w:rsidP="009722A9">
      <w:pPr>
        <w:pStyle w:val="ReadinessBullett1"/>
      </w:pPr>
      <w:r w:rsidRPr="002C39F8">
        <w:rPr>
          <w:color w:val="000000"/>
        </w:rPr>
        <w:t xml:space="preserve">CMS expects Part D sponsors to provide the applicable standard terms and conditions document to the requesting pharmacy within two business </w:t>
      </w:r>
      <w:r w:rsidR="00C36576" w:rsidRPr="002C39F8">
        <w:rPr>
          <w:color w:val="000000"/>
        </w:rPr>
        <w:t>days of receipt of the request. (</w:t>
      </w:r>
      <w:r w:rsidRPr="002C39F8">
        <w:t>HPMS memo 08/13/2015)</w:t>
      </w:r>
    </w:p>
    <w:p w:rsidR="00FB003F" w:rsidRPr="007B1F78" w:rsidRDefault="00D75300" w:rsidP="00CD7797">
      <w:pPr>
        <w:pStyle w:val="ReadinessOutlineI"/>
      </w:pPr>
      <w:r w:rsidRPr="007B1F78">
        <w:t>Offshore Subcontracting</w:t>
      </w:r>
      <w:r w:rsidR="00F35CF5" w:rsidRPr="007B1F78">
        <w:t xml:space="preserve"> – Medicare Advantage Organizations and Part D Sponsors  </w:t>
      </w:r>
    </w:p>
    <w:p w:rsidR="00FB003F" w:rsidRPr="00CA5A67" w:rsidRDefault="00814211" w:rsidP="00826260">
      <w:pPr>
        <w:pStyle w:val="OutlineParagraph"/>
        <w:rPr>
          <w:b/>
          <w:sz w:val="28"/>
        </w:rPr>
      </w:pPr>
      <w:r w:rsidRPr="00D50C23">
        <w:t>For organizations with offshore subcontractor</w:t>
      </w:r>
      <w:r w:rsidR="003D564E">
        <w:t>*</w:t>
      </w:r>
      <w:r w:rsidRPr="00D50C23">
        <w:t xml:space="preserve"> arrangements</w:t>
      </w:r>
      <w:r w:rsidR="00CA5A67">
        <w:t>,</w:t>
      </w:r>
      <w:r w:rsidRPr="00D50C23">
        <w:t xml:space="preserve"> ensure the HPMS Offshore Subcontracting module is up to date regarding the functions offshore subcontractors perform</w:t>
      </w:r>
      <w:r w:rsidR="00914EED">
        <w:t xml:space="preserve"> w</w:t>
      </w:r>
      <w:r w:rsidRPr="00D50C23">
        <w:t>ithin 30 calendar days of signing an offshore contract. (HPMS memos 07/23/2007, 09/20/2007</w:t>
      </w:r>
      <w:r w:rsidR="00B000E9" w:rsidRPr="00D50C23">
        <w:t>,</w:t>
      </w:r>
      <w:r w:rsidRPr="00D50C23">
        <w:t xml:space="preserve"> and 08/26/2008)</w:t>
      </w:r>
    </w:p>
    <w:p w:rsidR="00CA5A67" w:rsidRDefault="00CA5A67" w:rsidP="00826260">
      <w:pPr>
        <w:pStyle w:val="OutlineParagraph"/>
      </w:pPr>
      <w:r w:rsidRPr="00FD03C4">
        <w:t xml:space="preserve">* </w:t>
      </w:r>
      <w:r w:rsidRPr="00FD03C4">
        <w:rPr>
          <w:i/>
        </w:rPr>
        <w:t>Offshore</w:t>
      </w:r>
      <w:r w:rsidR="003D564E" w:rsidRPr="00FD03C4">
        <w:rPr>
          <w:i/>
        </w:rPr>
        <w:t xml:space="preserve"> subcontractor</w:t>
      </w:r>
      <w:r w:rsidRPr="00FD03C4">
        <w:t xml:space="preserve"> is defined as</w:t>
      </w:r>
      <w:r w:rsidR="003D564E" w:rsidRPr="00FD03C4">
        <w:t xml:space="preserve"> a first tier/downstream/related entity located out</w:t>
      </w:r>
      <w:r w:rsidR="00395980">
        <w:t>side</w:t>
      </w:r>
      <w:r w:rsidR="003D564E" w:rsidRPr="00FD03C4">
        <w:t xml:space="preserve"> of the one of the</w:t>
      </w:r>
      <w:r w:rsidRPr="008B240A">
        <w:t xml:space="preserve"> fifty U</w:t>
      </w:r>
      <w:r w:rsidR="00395980">
        <w:t>.S.</w:t>
      </w:r>
      <w:r w:rsidRPr="008B240A">
        <w:t xml:space="preserve"> </w:t>
      </w:r>
      <w:r w:rsidR="00395980">
        <w:t>s</w:t>
      </w:r>
      <w:r w:rsidRPr="008B240A">
        <w:t>tates, the District of Columbia, or one of the United States Territories (American Samoa, Guam, Northern Marianas, Puerto Rico, and Virgin Islands)</w:t>
      </w:r>
      <w:r w:rsidRPr="00FD03C4">
        <w:t>.</w:t>
      </w:r>
    </w:p>
    <w:p w:rsidR="00870769" w:rsidRPr="008B240A" w:rsidRDefault="00870769" w:rsidP="00826260">
      <w:pPr>
        <w:pStyle w:val="OutlineParagraph"/>
        <w:rPr>
          <w:b/>
        </w:rPr>
      </w:pPr>
    </w:p>
    <w:p w:rsidR="00C045C7" w:rsidRPr="007B1F78" w:rsidRDefault="00C045C7" w:rsidP="00CD7797">
      <w:pPr>
        <w:pStyle w:val="ReadinessOutlineI"/>
      </w:pPr>
      <w:r>
        <w:t xml:space="preserve">Changes to First Tier/Downstream/Related Party (FDR) Contracts for Key Part C and Part D Functions </w:t>
      </w:r>
    </w:p>
    <w:p w:rsidR="00C045C7" w:rsidRDefault="00C045C7" w:rsidP="009722A9">
      <w:pPr>
        <w:pStyle w:val="ReadinessBullett1"/>
      </w:pPr>
      <w:r>
        <w:t xml:space="preserve">Notify your CMS Account Manager at least </w:t>
      </w:r>
      <w:r w:rsidRPr="00FB1E45">
        <w:rPr>
          <w:u w:val="single"/>
        </w:rPr>
        <w:t>60 days prior</w:t>
      </w:r>
      <w:r>
        <w:t xml:space="preserve"> to the effective date of the new contract</w:t>
      </w:r>
      <w:r w:rsidR="00985EA5">
        <w:t>.</w:t>
      </w:r>
      <w:r w:rsidR="00FB23A3">
        <w:t xml:space="preserve"> </w:t>
      </w:r>
    </w:p>
    <w:p w:rsidR="00FB23A3" w:rsidRDefault="00FB23A3" w:rsidP="00FB23A3">
      <w:pPr>
        <w:pStyle w:val="ReadinessBullett1"/>
      </w:pPr>
      <w:r>
        <w:lastRenderedPageBreak/>
        <w:t>CMS recommends that sponsors making pharmacy network changes provide both those pharmacies whose network status is changing, and enrollees using those pharmacies, with notices of changes specific to their situation.</w:t>
      </w:r>
    </w:p>
    <w:p w:rsidR="00826260" w:rsidRDefault="00C045C7" w:rsidP="009722A9">
      <w:pPr>
        <w:pStyle w:val="ReadinessBullett1"/>
        <w:rPr>
          <w:b/>
        </w:rPr>
      </w:pPr>
      <w:r w:rsidRPr="007B1F78">
        <w:t>Part D Sponsors</w:t>
      </w:r>
      <w:r>
        <w:t xml:space="preserve"> – </w:t>
      </w:r>
      <w:r w:rsidRPr="007B1F78">
        <w:t>If making Pharmacy Benefit Manager (PBM)</w:t>
      </w:r>
      <w:r w:rsidR="00732D95">
        <w:t>/ Processor</w:t>
      </w:r>
      <w:r w:rsidRPr="007B1F78">
        <w:t xml:space="preserve"> changes:</w:t>
      </w:r>
    </w:p>
    <w:p w:rsidR="00656C88" w:rsidRPr="00826260" w:rsidRDefault="00160E14" w:rsidP="004473D0">
      <w:pPr>
        <w:pStyle w:val="ReadinessBullett2"/>
        <w:rPr>
          <w:b/>
        </w:rPr>
      </w:pPr>
      <w:r>
        <w:t>Take</w:t>
      </w:r>
      <w:r w:rsidR="00C045C7" w:rsidRPr="007B1F78">
        <w:t xml:space="preserve"> all steps per the </w:t>
      </w:r>
      <w:r w:rsidR="00C045C7" w:rsidRPr="00826260">
        <w:rPr>
          <w:i/>
        </w:rPr>
        <w:t>Medicare Prescription Drug Manual Chapter 5, Section 50</w:t>
      </w:r>
      <w:r w:rsidR="00C045C7" w:rsidRPr="007B1F78">
        <w:t>, if making changes to the PBM contracted to maintain your organization’s pharmacy networks.</w:t>
      </w:r>
    </w:p>
    <w:p w:rsidR="00FC69E2" w:rsidRDefault="00C045C7" w:rsidP="004473D0">
      <w:pPr>
        <w:pStyle w:val="ReadinessBullett2"/>
      </w:pPr>
      <w:r w:rsidRPr="007B1F78">
        <w:t>Update all members’ 4Rx data prior to the effective date of the PBM change to reflect the new BIN and PCN</w:t>
      </w:r>
      <w:r w:rsidR="00985EA5">
        <w:t>.</w:t>
      </w:r>
      <w:r w:rsidR="00AA6022">
        <w:t xml:space="preserve"> </w:t>
      </w:r>
      <w:r w:rsidR="00FD03C4">
        <w:t xml:space="preserve"> (</w:t>
      </w:r>
      <w:r w:rsidR="006E4317">
        <w:t xml:space="preserve">Medicare Managed Care Manual Chapter 2 and </w:t>
      </w:r>
      <w:r w:rsidR="00B132DC">
        <w:t>Medicare</w:t>
      </w:r>
      <w:r w:rsidR="006E4317">
        <w:t xml:space="preserve"> Prescription Drug Plan Chapter 3</w:t>
      </w:r>
      <w:r w:rsidR="00FD03C4">
        <w:t xml:space="preserve">  </w:t>
      </w:r>
      <w:r w:rsidR="006E4317" w:rsidRPr="008B240A">
        <w:rPr>
          <w:i/>
        </w:rPr>
        <w:t xml:space="preserve">Eligibility, </w:t>
      </w:r>
      <w:r w:rsidR="00FD03C4" w:rsidRPr="008B240A">
        <w:rPr>
          <w:i/>
        </w:rPr>
        <w:t>Enrollment, and Disenrollment</w:t>
      </w:r>
      <w:r w:rsidR="00FD03C4" w:rsidRPr="00FD03C4">
        <w:t>,</w:t>
      </w:r>
      <w:r w:rsidR="00FD03C4">
        <w:t xml:space="preserve"> </w:t>
      </w:r>
      <w:r w:rsidR="00FD03C4" w:rsidRPr="008B240A">
        <w:t>Section IV.D.a</w:t>
      </w:r>
      <w:r w:rsidR="00FD03C4">
        <w:t>)</w:t>
      </w:r>
    </w:p>
    <w:p w:rsidR="00B0184F" w:rsidRPr="00FC69E2" w:rsidRDefault="00B0184F" w:rsidP="009722A9">
      <w:pPr>
        <w:pStyle w:val="ReadinessBullett1"/>
      </w:pPr>
      <w:r w:rsidRPr="00B0184F">
        <w:t>Effective January 1, 2016, drug pricing based on maximum allowable cost (MAC) is subject to the prescription drug pricing standard regulations governing the contract between the Part D plan sponsor and all first tier, downstream, and related entities, which must contain a provision: (A) Establishing regular updates of any prescription drug pricing standard used by the Part D sponsor consistent with §423.505(b)(21); and (B) Indicating the source used by the Part D sponsor for making any such pricing updates. See 423.505(i)(3)(vii) and MAC Pricing below.</w:t>
      </w:r>
    </w:p>
    <w:p w:rsidR="00614AAD" w:rsidRPr="00C36576" w:rsidRDefault="009626F9" w:rsidP="005201FD">
      <w:pPr>
        <w:pStyle w:val="Heading1"/>
        <w:spacing w:before="120" w:after="120"/>
        <w:rPr>
          <w:rFonts w:ascii="Calibri" w:hAnsi="Calibri"/>
        </w:rPr>
      </w:pPr>
      <w:bookmarkStart w:id="13" w:name="_Toc431964670"/>
      <w:r w:rsidRPr="00C36576">
        <w:rPr>
          <w:rFonts w:ascii="Calibri" w:hAnsi="Calibri"/>
        </w:rPr>
        <w:t xml:space="preserve">D. </w:t>
      </w:r>
      <w:r w:rsidR="00614AAD" w:rsidRPr="00C36576">
        <w:rPr>
          <w:rFonts w:ascii="Calibri" w:hAnsi="Calibri"/>
        </w:rPr>
        <w:t>Customer Service</w:t>
      </w:r>
      <w:bookmarkEnd w:id="13"/>
    </w:p>
    <w:p w:rsidR="00FB003F" w:rsidRPr="007B1F78" w:rsidRDefault="00614AAD" w:rsidP="00CD7797">
      <w:pPr>
        <w:pStyle w:val="Outline1"/>
        <w:numPr>
          <w:ilvl w:val="0"/>
          <w:numId w:val="19"/>
        </w:numPr>
      </w:pPr>
      <w:r w:rsidRPr="007B1F78">
        <w:t>Customer Service Call Centers</w:t>
      </w:r>
      <w:r w:rsidR="000C4A35" w:rsidRPr="007B1F78">
        <w:t xml:space="preserve"> – Medicare Advantage Organizations and Part D Sponsors</w:t>
      </w:r>
    </w:p>
    <w:p w:rsidR="00FB003F" w:rsidRPr="00FB013E" w:rsidRDefault="00160E14" w:rsidP="009722A9">
      <w:pPr>
        <w:pStyle w:val="ReadinessBullett1"/>
        <w:rPr>
          <w:b/>
        </w:rPr>
      </w:pPr>
      <w:r>
        <w:t>Staff all</w:t>
      </w:r>
      <w:r w:rsidR="00D50F0F" w:rsidRPr="00041FDE">
        <w:t xml:space="preserve"> toll-free beneficiary call centers appropriately to handle increased call volume from October 1</w:t>
      </w:r>
      <w:r w:rsidR="00D50F0F" w:rsidRPr="00985EA5">
        <w:t xml:space="preserve"> </w:t>
      </w:r>
      <w:r w:rsidR="00D50F0F" w:rsidRPr="00041FDE">
        <w:t xml:space="preserve">to February 14, which includes the AEP. </w:t>
      </w:r>
      <w:r w:rsidR="00A003B9">
        <w:t xml:space="preserve">Plans/Part D Sponsors must operate a toll-free call center for both current and prospective enrollees open during usual business hours, which CMS considers to be seven (7) days a week, at least from 8:00 A.M. to 8:00 </w:t>
      </w:r>
      <w:r w:rsidR="00735B63">
        <w:t xml:space="preserve">P.M., </w:t>
      </w:r>
      <w:r w:rsidR="00B907EC">
        <w:t>according to the time zones for the regions in w</w:t>
      </w:r>
      <w:r w:rsidR="00735B63">
        <w:t xml:space="preserve">hich </w:t>
      </w:r>
      <w:r w:rsidR="00735B63">
        <w:lastRenderedPageBreak/>
        <w:t>your organization operates</w:t>
      </w:r>
      <w:r w:rsidR="00B907EC">
        <w:t>.</w:t>
      </w:r>
      <w:r w:rsidR="00D50F0F" w:rsidRPr="00041FDE">
        <w:t xml:space="preserve"> </w:t>
      </w:r>
      <w:r w:rsidR="00060550">
        <w:t xml:space="preserve">Call centers must be able to provide free interpreter services for Limited-English Proficient (LEP) beneficiaries.  </w:t>
      </w:r>
      <w:r w:rsidR="00D50F0F" w:rsidRPr="00041FDE">
        <w:t>(</w:t>
      </w:r>
      <w:r w:rsidR="00D50F0F" w:rsidRPr="00FB013E">
        <w:rPr>
          <w:i/>
        </w:rPr>
        <w:t xml:space="preserve">Marketing Guidelines, Section </w:t>
      </w:r>
      <w:r w:rsidR="00D50F0F" w:rsidRPr="00212ADF">
        <w:rPr>
          <w:i/>
        </w:rPr>
        <w:t>80</w:t>
      </w:r>
      <w:r w:rsidR="00990FCA" w:rsidRPr="00212ADF">
        <w:t>)</w:t>
      </w:r>
    </w:p>
    <w:p w:rsidR="00656C88" w:rsidRDefault="00D50F0F" w:rsidP="004473D0">
      <w:pPr>
        <w:pStyle w:val="ReadinessBullett2"/>
        <w:rPr>
          <w:b/>
        </w:rPr>
      </w:pPr>
      <w:r w:rsidRPr="00041FDE">
        <w:t>From October 1 to February 14</w:t>
      </w:r>
      <w:r w:rsidR="004F395E">
        <w:t xml:space="preserve"> </w:t>
      </w:r>
      <w:r w:rsidR="00A003B9">
        <w:t>-</w:t>
      </w:r>
      <w:r w:rsidRPr="00041FDE">
        <w:t xml:space="preserve"> </w:t>
      </w:r>
      <w:r w:rsidR="00B907EC">
        <w:t xml:space="preserve">Current and prospective enrollees must be able to speak with a live customer service representative. </w:t>
      </w:r>
      <w:r w:rsidR="004F395E">
        <w:t>Y</w:t>
      </w:r>
      <w:r w:rsidR="00B907EC">
        <w:t>our organization</w:t>
      </w:r>
      <w:r w:rsidR="00B907EC" w:rsidRPr="00041FDE">
        <w:t xml:space="preserve"> </w:t>
      </w:r>
      <w:r w:rsidR="009851B9" w:rsidRPr="00041FDE">
        <w:t>may use alternative technologies on Thanksgiving and Christmas</w:t>
      </w:r>
      <w:r w:rsidR="00065B5B">
        <w:t>.</w:t>
      </w:r>
    </w:p>
    <w:p w:rsidR="00FB003F" w:rsidRPr="00870769" w:rsidRDefault="0078205D" w:rsidP="004473D0">
      <w:pPr>
        <w:pStyle w:val="ReadinessBullett2"/>
        <w:rPr>
          <w:b/>
        </w:rPr>
      </w:pPr>
      <w:r>
        <w:t>F</w:t>
      </w:r>
      <w:r w:rsidR="00065B5B" w:rsidRPr="00041FDE">
        <w:t xml:space="preserve">rom February 15 through September 30, </w:t>
      </w:r>
      <w:r w:rsidR="00B907EC">
        <w:t xml:space="preserve">your </w:t>
      </w:r>
      <w:r w:rsidR="00065B5B" w:rsidRPr="00041FDE">
        <w:t xml:space="preserve">organization </w:t>
      </w:r>
      <w:r w:rsidR="00B907EC">
        <w:t>may</w:t>
      </w:r>
      <w:r w:rsidR="00065B5B" w:rsidRPr="00041FDE">
        <w:t xml:space="preserve"> use alternative technologies to meet the customer service call center requirements for Saturdays, Sundays, and </w:t>
      </w:r>
      <w:r w:rsidR="00A003B9">
        <w:t xml:space="preserve">Federal </w:t>
      </w:r>
      <w:r w:rsidR="00065B5B" w:rsidRPr="00041FDE">
        <w:t>holidays.</w:t>
      </w:r>
    </w:p>
    <w:p w:rsidR="00870769" w:rsidRPr="00656C88" w:rsidRDefault="00870769" w:rsidP="00870769">
      <w:pPr>
        <w:pStyle w:val="ReadinessBullett2"/>
        <w:numPr>
          <w:ilvl w:val="0"/>
          <w:numId w:val="0"/>
        </w:numPr>
        <w:rPr>
          <w:b/>
        </w:rPr>
      </w:pPr>
    </w:p>
    <w:p w:rsidR="00FB003F" w:rsidRPr="007B1F78" w:rsidRDefault="00332AFB" w:rsidP="00CD7797">
      <w:pPr>
        <w:pStyle w:val="ReadinessOutlineI"/>
      </w:pPr>
      <w:r w:rsidRPr="007B1F78">
        <w:t>Limited English Speaking Beneficiaries</w:t>
      </w:r>
      <w:r w:rsidR="005648A8" w:rsidRPr="007B1F78">
        <w:t xml:space="preserve"> – Medicare Advantage Organizations and Part D Sponsors   </w:t>
      </w:r>
    </w:p>
    <w:p w:rsidR="005B6155" w:rsidRDefault="003509BB" w:rsidP="009722A9">
      <w:pPr>
        <w:pStyle w:val="ReadinessBullett1"/>
      </w:pPr>
      <w:r w:rsidRPr="00055CB8">
        <w:t>All plan sponsors’ call centers must have interpreter services available to call center personnel to answer questions from non-English speaking beneficiaries</w:t>
      </w:r>
      <w:r w:rsidRPr="008A21BE">
        <w:t>. This requirement is in place regardless of the percentage of non-English speaking beneficiaries in a service area</w:t>
      </w:r>
      <w:r w:rsidR="00332AFB" w:rsidRPr="00B00A4D">
        <w:t xml:space="preserve">.  </w:t>
      </w:r>
    </w:p>
    <w:p w:rsidR="005B6155" w:rsidRDefault="005B6155" w:rsidP="009722A9">
      <w:pPr>
        <w:pStyle w:val="ReadinessBullett1"/>
      </w:pPr>
      <w:r w:rsidRPr="005B6155">
        <w:rPr>
          <w:color w:val="000000"/>
        </w:rPr>
        <w:t xml:space="preserve">Inform callers that interpreter services are “free.” </w:t>
      </w:r>
      <w:r w:rsidRPr="005B6155">
        <w:t xml:space="preserve">Interpreters should be available within seven (7) minutes of reaching the </w:t>
      </w:r>
      <w:r w:rsidR="00707AB5">
        <w:t>Customer Service Representative (</w:t>
      </w:r>
      <w:r w:rsidRPr="005B6155">
        <w:t>CSR</w:t>
      </w:r>
      <w:r w:rsidR="00707AB5">
        <w:t>)</w:t>
      </w:r>
      <w:r w:rsidRPr="005B6155">
        <w:t xml:space="preserve">. </w:t>
      </w:r>
    </w:p>
    <w:p w:rsidR="00FB003F" w:rsidRPr="008A21BE" w:rsidRDefault="00160E14" w:rsidP="009722A9">
      <w:pPr>
        <w:pStyle w:val="ReadinessBullett1"/>
        <w:rPr>
          <w:b/>
        </w:rPr>
      </w:pPr>
      <w:r>
        <w:t>M</w:t>
      </w:r>
      <w:r w:rsidR="003509BB" w:rsidRPr="00B00A4D">
        <w:t xml:space="preserve">ake the marketing materials identified in the </w:t>
      </w:r>
      <w:r w:rsidR="003509BB" w:rsidRPr="00824FF1">
        <w:rPr>
          <w:i/>
        </w:rPr>
        <w:t>Medicare Marketing Guidelines</w:t>
      </w:r>
      <w:r w:rsidR="003509BB" w:rsidRPr="00B00A4D">
        <w:t xml:space="preserve"> sections 30.</w:t>
      </w:r>
      <w:r w:rsidR="00B000E9" w:rsidRPr="00B00A4D">
        <w:t>6</w:t>
      </w:r>
      <w:r w:rsidR="003509BB" w:rsidRPr="00B00A4D">
        <w:t>, 30.</w:t>
      </w:r>
      <w:r w:rsidR="00B000E9" w:rsidRPr="00B00A4D">
        <w:t>7</w:t>
      </w:r>
      <w:r w:rsidR="003509BB" w:rsidRPr="00B00A4D">
        <w:t>, 30.1</w:t>
      </w:r>
      <w:r w:rsidR="00B000E9" w:rsidRPr="00B00A4D">
        <w:t>0</w:t>
      </w:r>
      <w:r w:rsidR="003509BB" w:rsidRPr="00B00A4D">
        <w:t xml:space="preserve"> and the Part D Transition Letter</w:t>
      </w:r>
      <w:r w:rsidR="00062FD2">
        <w:t>(s)</w:t>
      </w:r>
      <w:r w:rsidR="003509BB" w:rsidRPr="00B00A4D">
        <w:t xml:space="preserve"> available in any language that is the </w:t>
      </w:r>
      <w:r w:rsidR="00A2421A" w:rsidRPr="00D50C23">
        <w:t xml:space="preserve">primary language of five </w:t>
      </w:r>
      <w:r w:rsidR="00062FD2">
        <w:t xml:space="preserve">(5) </w:t>
      </w:r>
      <w:r w:rsidR="00A2421A" w:rsidRPr="00D50C23">
        <w:t xml:space="preserve">percent or more </w:t>
      </w:r>
      <w:r w:rsidR="003509BB" w:rsidRPr="00055CB8">
        <w:t>of a plan sponsor’s plan benefit package service area. Additionally, plan sponsors must place translated versions of these materials on the plan’s website</w:t>
      </w:r>
      <w:r w:rsidR="003509BB" w:rsidRPr="008A21BE">
        <w:t>.</w:t>
      </w:r>
      <w:r w:rsidR="00332AFB" w:rsidRPr="008A21BE">
        <w:t xml:space="preserve"> </w:t>
      </w:r>
      <w:r w:rsidR="00A032EE">
        <w:t>(Excluding Employer Group/800 series-only contracts)</w:t>
      </w:r>
    </w:p>
    <w:p w:rsidR="006D074A" w:rsidRPr="00B00A4D" w:rsidRDefault="00160E14" w:rsidP="009722A9">
      <w:pPr>
        <w:pStyle w:val="ReadinessBullett1"/>
      </w:pPr>
      <w:r>
        <w:t>I</w:t>
      </w:r>
      <w:r w:rsidR="003509BB" w:rsidRPr="00B00A4D">
        <w:t xml:space="preserve">nclude the Multi-Language Insert with the Summary of Benefits </w:t>
      </w:r>
      <w:r w:rsidR="00685B21">
        <w:t>(SB)</w:t>
      </w:r>
      <w:r w:rsidR="003509BB" w:rsidRPr="00B00A4D">
        <w:t xml:space="preserve"> and the </w:t>
      </w:r>
      <w:r w:rsidR="000F42C9">
        <w:t>Annual Notice of Changes</w:t>
      </w:r>
      <w:r w:rsidR="00685B21">
        <w:t xml:space="preserve"> (</w:t>
      </w:r>
      <w:r w:rsidR="003509BB" w:rsidRPr="00B00A4D">
        <w:t>ANOC</w:t>
      </w:r>
      <w:r w:rsidR="00685B21">
        <w:t>)</w:t>
      </w:r>
      <w:r w:rsidR="003509BB" w:rsidRPr="00B00A4D">
        <w:t>/</w:t>
      </w:r>
      <w:r w:rsidR="000F42C9">
        <w:t>/Evidence of Coverage (</w:t>
      </w:r>
      <w:r w:rsidR="003509BB" w:rsidRPr="00B00A4D">
        <w:t>EOC</w:t>
      </w:r>
      <w:r w:rsidR="000F42C9">
        <w:t>)</w:t>
      </w:r>
      <w:r w:rsidR="003509BB" w:rsidRPr="00B00A4D">
        <w:t>.</w:t>
      </w:r>
      <w:r w:rsidR="00332AFB" w:rsidRPr="00B00A4D">
        <w:t xml:space="preserve"> </w:t>
      </w:r>
      <w:r w:rsidR="00A032EE">
        <w:t>(Excluding Employer Group/800 series-only contracts)</w:t>
      </w:r>
    </w:p>
    <w:p w:rsidR="00B000E9" w:rsidRPr="00D50C23" w:rsidRDefault="00057F82" w:rsidP="000F433C">
      <w:pPr>
        <w:pStyle w:val="OutlineParagraph"/>
        <w:rPr>
          <w:b/>
        </w:rPr>
      </w:pPr>
      <w:r w:rsidRPr="002C39F8">
        <w:rPr>
          <w:iCs/>
        </w:rPr>
        <w:lastRenderedPageBreak/>
        <w:t>(</w:t>
      </w:r>
      <w:r w:rsidR="00B000E9" w:rsidRPr="00826260">
        <w:rPr>
          <w:i/>
          <w:iCs/>
        </w:rPr>
        <w:t xml:space="preserve">Medicare Marketing Guidelines, </w:t>
      </w:r>
      <w:r w:rsidR="00B000E9" w:rsidRPr="00826260">
        <w:rPr>
          <w:iCs/>
        </w:rPr>
        <w:t xml:space="preserve">Sections 30.5, 30.5.1, 30.6, 30.7, </w:t>
      </w:r>
      <w:r w:rsidR="00B000E9" w:rsidRPr="00D50C23">
        <w:t>80.1, 100.1, and Appendix 3; 42 C.F.R. §§ 422.2264(e), 423.2264(e)); HPMS memo</w:t>
      </w:r>
      <w:r w:rsidR="00A032EE">
        <w:t xml:space="preserve"> 09/</w:t>
      </w:r>
      <w:r w:rsidR="005B6155">
        <w:t>17</w:t>
      </w:r>
      <w:r w:rsidR="00A032EE">
        <w:t>/</w:t>
      </w:r>
      <w:r w:rsidR="005B6155">
        <w:t>2015</w:t>
      </w:r>
      <w:r w:rsidR="00B000E9" w:rsidRPr="00D50C23">
        <w:t>.</w:t>
      </w:r>
      <w:r>
        <w:t>)</w:t>
      </w:r>
    </w:p>
    <w:p w:rsidR="00FB003F" w:rsidRPr="007B1F78" w:rsidRDefault="00614AAD" w:rsidP="00CD7797">
      <w:pPr>
        <w:pStyle w:val="ReadinessOutlineI"/>
      </w:pPr>
      <w:r w:rsidRPr="007B1F78">
        <w:t>Customer Service Staff Knowledge</w:t>
      </w:r>
      <w:r w:rsidR="00F47B3C" w:rsidRPr="007B1F78">
        <w:t xml:space="preserve">  – </w:t>
      </w:r>
      <w:r w:rsidR="00111816">
        <w:t>Part D Sponsors</w:t>
      </w:r>
    </w:p>
    <w:p w:rsidR="000E793C" w:rsidRPr="00851321" w:rsidRDefault="000E793C" w:rsidP="000F433C">
      <w:pPr>
        <w:pStyle w:val="OutlineParagraph"/>
      </w:pPr>
      <w:r w:rsidRPr="00AF5706">
        <w:t xml:space="preserve">Ensure </w:t>
      </w:r>
      <w:r w:rsidR="00FD03C4">
        <w:t>customer service representatives are</w:t>
      </w:r>
      <w:r w:rsidRPr="00AF5706">
        <w:t xml:space="preserve"> familiar with the plans’ Medication Therapy Management (MTM) program, including eligibility criteria and additional information required to be available on a dedicated Medication Therapy Management Program page linked from the Medicare drug plan website, and how to direct beneficiaries to the plans’ MTM program page.  </w:t>
      </w:r>
      <w:r w:rsidR="00D0502E" w:rsidRPr="00D0502E">
        <w:t xml:space="preserve">The 2016 MTM program annual cost threshold increased to $3,507. </w:t>
      </w:r>
      <w:r w:rsidR="00D0502E">
        <w:t xml:space="preserve">  </w:t>
      </w:r>
      <w:r w:rsidRPr="00851321">
        <w:t>(</w:t>
      </w:r>
      <w:r w:rsidRPr="006C396A">
        <w:rPr>
          <w:i/>
        </w:rPr>
        <w:t>Medicare Marketing Guidelines</w:t>
      </w:r>
      <w:r w:rsidRPr="006C396A">
        <w:t xml:space="preserve">, </w:t>
      </w:r>
      <w:r w:rsidRPr="006C396A">
        <w:rPr>
          <w:i/>
        </w:rPr>
        <w:t>Section 100</w:t>
      </w:r>
      <w:r w:rsidR="006C396A">
        <w:rPr>
          <w:i/>
        </w:rPr>
        <w:t>.2.1</w:t>
      </w:r>
      <w:r w:rsidR="00D0502E">
        <w:rPr>
          <w:i/>
        </w:rPr>
        <w:t xml:space="preserve">, </w:t>
      </w:r>
      <w:r w:rsidR="00D0502E">
        <w:t>HPMS memo 4/7/15</w:t>
      </w:r>
      <w:r w:rsidRPr="00851321">
        <w:t>)</w:t>
      </w:r>
    </w:p>
    <w:p w:rsidR="00FB003F" w:rsidRPr="007B1F78" w:rsidRDefault="00614AAD" w:rsidP="00CD7797">
      <w:pPr>
        <w:pStyle w:val="ReadinessOutlineI"/>
      </w:pPr>
      <w:r w:rsidRPr="007B1F78">
        <w:t>Pharmacy Technical Help Desk Call Centers</w:t>
      </w:r>
      <w:r w:rsidR="00F94539" w:rsidRPr="007B1F78">
        <w:t xml:space="preserve"> – Part D Sponsors</w:t>
      </w:r>
    </w:p>
    <w:p w:rsidR="00FB003F" w:rsidRPr="003E0888" w:rsidRDefault="00A4354D" w:rsidP="000F433C">
      <w:pPr>
        <w:pStyle w:val="OutlineParagraph"/>
        <w:rPr>
          <w:b/>
        </w:rPr>
      </w:pPr>
      <w:r>
        <w:t>Ensure p</w:t>
      </w:r>
      <w:r w:rsidR="00876121" w:rsidRPr="007B1F78">
        <w:t xml:space="preserve">harmacy technical support </w:t>
      </w:r>
      <w:r>
        <w:t>is</w:t>
      </w:r>
      <w:r w:rsidR="00876121" w:rsidRPr="007B1F78">
        <w:t xml:space="preserve"> available </w:t>
      </w:r>
      <w:r>
        <w:t xml:space="preserve">at all times </w:t>
      </w:r>
      <w:r w:rsidR="00876121" w:rsidRPr="007B1F78">
        <w:t>any network pharmacy is open. Sponsors that have pharmacy networks with 24-hour pharmacies in their networks must operate their pharmacy technical help call centers 24 hours a day</w:t>
      </w:r>
      <w:r w:rsidR="00074DDA" w:rsidRPr="007B1F78">
        <w:t>, including Thanksgiving and Christmas</w:t>
      </w:r>
      <w:r w:rsidR="00876121" w:rsidRPr="007B1F78">
        <w:t>.</w:t>
      </w:r>
    </w:p>
    <w:p w:rsidR="00FB003F" w:rsidRPr="007B1F78" w:rsidRDefault="00F94539" w:rsidP="00CD7797">
      <w:pPr>
        <w:pStyle w:val="ReadinessOutlineI"/>
      </w:pPr>
      <w:r w:rsidRPr="007B1F78">
        <w:t>Complaints Tracking Module – Medicare Advantage Organizations</w:t>
      </w:r>
      <w:r w:rsidR="00AF14B8">
        <w:t>,</w:t>
      </w:r>
      <w:r w:rsidRPr="007B1F78">
        <w:t xml:space="preserve"> Part D Sponsors</w:t>
      </w:r>
      <w:r w:rsidR="00AF14B8">
        <w:t xml:space="preserve">, </w:t>
      </w:r>
      <w:r w:rsidR="00635D9F">
        <w:t xml:space="preserve">and </w:t>
      </w:r>
      <w:r w:rsidR="00AF14B8">
        <w:t>Cost Plans</w:t>
      </w:r>
    </w:p>
    <w:p w:rsidR="00FB003F" w:rsidRPr="00257758" w:rsidRDefault="00160E14" w:rsidP="000F433C">
      <w:pPr>
        <w:pStyle w:val="OutlineParagraph"/>
        <w:rPr>
          <w:b/>
        </w:rPr>
      </w:pPr>
      <w:r>
        <w:t>R</w:t>
      </w:r>
      <w:r w:rsidR="00F94539" w:rsidRPr="007B1F78">
        <w:t>esolve at least 95% of Complaints Tracking Module (CTM) complaints designated as</w:t>
      </w:r>
      <w:r w:rsidR="00074DDA" w:rsidRPr="007B1F78">
        <w:t xml:space="preserve"> “immediate need” within two calendar days</w:t>
      </w:r>
      <w:r w:rsidR="00075D02" w:rsidRPr="007B1F78">
        <w:t>, complaints</w:t>
      </w:r>
      <w:r w:rsidR="00074DDA" w:rsidRPr="007B1F78">
        <w:t xml:space="preserve"> designated </w:t>
      </w:r>
      <w:r w:rsidR="00075D02" w:rsidRPr="007B1F78">
        <w:t xml:space="preserve">as </w:t>
      </w:r>
      <w:r w:rsidR="00F94539" w:rsidRPr="007B1F78">
        <w:t>“urgent” within seven days</w:t>
      </w:r>
      <w:r w:rsidR="00074DDA" w:rsidRPr="007B1F78">
        <w:t>,</w:t>
      </w:r>
      <w:r w:rsidR="00F94539" w:rsidRPr="007B1F78">
        <w:t xml:space="preserve"> and resolve at least 95% of</w:t>
      </w:r>
      <w:r w:rsidR="00516CF9">
        <w:t xml:space="preserve"> all</w:t>
      </w:r>
      <w:r w:rsidR="00F94539" w:rsidRPr="007B1F78">
        <w:t xml:space="preserve"> CTM complaints designated without </w:t>
      </w:r>
      <w:r w:rsidR="00BB402D">
        <w:t xml:space="preserve">an issue level within 30 days. </w:t>
      </w:r>
      <w:r w:rsidR="00F94539" w:rsidRPr="007B1F78">
        <w:t xml:space="preserve">Plan sponsors are urged to make interim contact with beneficiaries if their complaints will take more than </w:t>
      </w:r>
      <w:r w:rsidR="00075D02" w:rsidRPr="007B1F78">
        <w:t>seven days</w:t>
      </w:r>
      <w:r w:rsidR="00F94539" w:rsidRPr="007B1F78">
        <w:t xml:space="preserve"> to resolve.  (HPMS memo </w:t>
      </w:r>
      <w:r w:rsidR="00317A8B">
        <w:t>0</w:t>
      </w:r>
      <w:r w:rsidR="00F94539" w:rsidRPr="007B1F78">
        <w:t>2/</w:t>
      </w:r>
      <w:r w:rsidR="00317A8B">
        <w:t>0</w:t>
      </w:r>
      <w:r w:rsidR="006E4295">
        <w:t>6</w:t>
      </w:r>
      <w:r w:rsidR="00F94539" w:rsidRPr="007B1F78">
        <w:t>/20</w:t>
      </w:r>
      <w:r w:rsidR="006704D7">
        <w:t>1</w:t>
      </w:r>
      <w:r w:rsidR="006E4295">
        <w:t>5</w:t>
      </w:r>
      <w:r w:rsidR="00F94539" w:rsidRPr="007B1F78">
        <w:t>)</w:t>
      </w:r>
    </w:p>
    <w:p w:rsidR="00D75300" w:rsidRPr="00111816" w:rsidRDefault="009626F9" w:rsidP="00111816">
      <w:pPr>
        <w:pStyle w:val="Heading1"/>
        <w:tabs>
          <w:tab w:val="left" w:pos="2166"/>
        </w:tabs>
        <w:spacing w:before="120" w:after="120"/>
        <w:rPr>
          <w:rFonts w:ascii="Calibri" w:hAnsi="Calibri"/>
        </w:rPr>
      </w:pPr>
      <w:bookmarkStart w:id="14" w:name="_Toc431964671"/>
      <w:r w:rsidRPr="00111816">
        <w:rPr>
          <w:rFonts w:ascii="Calibri" w:hAnsi="Calibri"/>
        </w:rPr>
        <w:t xml:space="preserve">E. </w:t>
      </w:r>
      <w:r w:rsidR="00D75300" w:rsidRPr="00111816">
        <w:rPr>
          <w:rFonts w:ascii="Calibri" w:hAnsi="Calibri"/>
        </w:rPr>
        <w:t>Marketing</w:t>
      </w:r>
      <w:bookmarkEnd w:id="14"/>
      <w:r w:rsidR="00111816" w:rsidRPr="00111816">
        <w:rPr>
          <w:rFonts w:ascii="Calibri" w:hAnsi="Calibri"/>
        </w:rPr>
        <w:tab/>
      </w:r>
    </w:p>
    <w:p w:rsidR="008C5306" w:rsidRPr="00FD51DC" w:rsidRDefault="006C396A" w:rsidP="00FD51DC">
      <w:pPr>
        <w:rPr>
          <w:rFonts w:asciiTheme="minorHAnsi" w:hAnsiTheme="minorHAnsi" w:cstheme="minorHAnsi"/>
        </w:rPr>
      </w:pPr>
      <w:r>
        <w:rPr>
          <w:rFonts w:asciiTheme="minorHAnsi" w:hAnsiTheme="minorHAnsi" w:cstheme="minorHAnsi"/>
        </w:rPr>
        <w:t>Market consistent</w:t>
      </w:r>
      <w:r w:rsidR="004B4BDE">
        <w:rPr>
          <w:rFonts w:asciiTheme="minorHAnsi" w:hAnsiTheme="minorHAnsi" w:cstheme="minorHAnsi"/>
        </w:rPr>
        <w:t xml:space="preserve"> with</w:t>
      </w:r>
      <w:r w:rsidR="008C5306" w:rsidRPr="00FD51DC">
        <w:rPr>
          <w:rFonts w:asciiTheme="minorHAnsi" w:hAnsiTheme="minorHAnsi" w:cstheme="minorHAnsi"/>
        </w:rPr>
        <w:t xml:space="preserve"> </w:t>
      </w:r>
      <w:r w:rsidR="004B4BDE">
        <w:rPr>
          <w:rFonts w:asciiTheme="minorHAnsi" w:hAnsiTheme="minorHAnsi" w:cstheme="minorHAnsi"/>
        </w:rPr>
        <w:t xml:space="preserve">the CY2016 </w:t>
      </w:r>
      <w:r w:rsidR="008C5306" w:rsidRPr="00FD51DC">
        <w:rPr>
          <w:rFonts w:asciiTheme="minorHAnsi" w:hAnsiTheme="minorHAnsi" w:cstheme="minorHAnsi"/>
        </w:rPr>
        <w:t>Medicare Ma</w:t>
      </w:r>
      <w:r w:rsidR="00446A99" w:rsidRPr="007D5940">
        <w:rPr>
          <w:rFonts w:asciiTheme="minorHAnsi" w:hAnsiTheme="minorHAnsi" w:cstheme="minorHAnsi"/>
        </w:rPr>
        <w:t>rketing Guidelines (HPMS memos</w:t>
      </w:r>
      <w:r w:rsidR="008C5306" w:rsidRPr="00FD51DC">
        <w:rPr>
          <w:rFonts w:asciiTheme="minorHAnsi" w:hAnsiTheme="minorHAnsi" w:cstheme="minorHAnsi"/>
        </w:rPr>
        <w:t xml:space="preserve"> 06/</w:t>
      </w:r>
      <w:r w:rsidR="00DD2179">
        <w:rPr>
          <w:rFonts w:asciiTheme="minorHAnsi" w:hAnsiTheme="minorHAnsi" w:cstheme="minorHAnsi"/>
        </w:rPr>
        <w:t>02</w:t>
      </w:r>
      <w:r w:rsidR="00446A99">
        <w:rPr>
          <w:rFonts w:asciiTheme="minorHAnsi" w:hAnsiTheme="minorHAnsi" w:cstheme="minorHAnsi"/>
        </w:rPr>
        <w:t>/2015,</w:t>
      </w:r>
      <w:r w:rsidR="008C5306" w:rsidRPr="00FD51DC">
        <w:rPr>
          <w:rFonts w:asciiTheme="minorHAnsi" w:hAnsiTheme="minorHAnsi" w:cstheme="minorHAnsi"/>
        </w:rPr>
        <w:t xml:space="preserve"> 8/13/2015)</w:t>
      </w:r>
    </w:p>
    <w:p w:rsidR="00FB003F" w:rsidRPr="007B1F78" w:rsidRDefault="00B132DC" w:rsidP="00CD7797">
      <w:pPr>
        <w:pStyle w:val="Outline1"/>
        <w:numPr>
          <w:ilvl w:val="0"/>
          <w:numId w:val="20"/>
        </w:numPr>
      </w:pPr>
      <w:r>
        <w:t xml:space="preserve">Individuals with Disabilities - </w:t>
      </w:r>
      <w:r w:rsidR="00332AFB" w:rsidRPr="007B1F78">
        <w:t xml:space="preserve">Anti-Discrimination </w:t>
      </w:r>
      <w:r w:rsidR="00995E71" w:rsidRPr="007B1F78">
        <w:t xml:space="preserve">– </w:t>
      </w:r>
      <w:r w:rsidR="00D76ADB" w:rsidRPr="007B1F78">
        <w:t>Medicare Adva</w:t>
      </w:r>
      <w:r>
        <w:t xml:space="preserve">ntage Organizations, </w:t>
      </w:r>
      <w:r w:rsidR="00995E71" w:rsidRPr="007B1F78">
        <w:t>Part D Sponsors</w:t>
      </w:r>
      <w:r w:rsidR="00346CB6">
        <w:t xml:space="preserve">, </w:t>
      </w:r>
      <w:r w:rsidR="00FB013E">
        <w:t xml:space="preserve">and </w:t>
      </w:r>
      <w:r>
        <w:t>Cost Plans</w:t>
      </w:r>
    </w:p>
    <w:p w:rsidR="00FB003F" w:rsidRDefault="00160E14" w:rsidP="009722A9">
      <w:pPr>
        <w:pStyle w:val="ReadinessBullett1"/>
      </w:pPr>
      <w:r>
        <w:lastRenderedPageBreak/>
        <w:t>P</w:t>
      </w:r>
      <w:r w:rsidR="00BF0842" w:rsidRPr="00B132DC">
        <w:t xml:space="preserve">rovide </w:t>
      </w:r>
      <w:r w:rsidR="00BF0842" w:rsidRPr="007B1F78">
        <w:t>basic services</w:t>
      </w:r>
      <w:r w:rsidR="00FB013E">
        <w:t xml:space="preserve"> and information to individuals </w:t>
      </w:r>
      <w:r w:rsidR="00BF0842" w:rsidRPr="007B1F78">
        <w:t xml:space="preserve">with disabilities, upon request. </w:t>
      </w:r>
    </w:p>
    <w:p w:rsidR="00B132DC" w:rsidRPr="007B1F78" w:rsidRDefault="00160E14" w:rsidP="009722A9">
      <w:pPr>
        <w:pStyle w:val="ReadinessBullett1"/>
      </w:pPr>
      <w:r>
        <w:t>M</w:t>
      </w:r>
      <w:r w:rsidR="00357948">
        <w:t>ake available all plan materials and information, including those produced or distributed by contracted providers, in alternate formats (e.g., braille, large print, and audio) to individuals with disabilities upon request.</w:t>
      </w:r>
    </w:p>
    <w:p w:rsidR="000F17E3" w:rsidRPr="004B3E6A" w:rsidRDefault="000F17E3" w:rsidP="000F433C">
      <w:pPr>
        <w:pStyle w:val="OutlineParagraph"/>
        <w:rPr>
          <w:i/>
        </w:rPr>
      </w:pPr>
      <w:r>
        <w:t>(</w:t>
      </w:r>
      <w:r w:rsidR="00B132DC">
        <w:t xml:space="preserve">HPMS memo 09/09/2014, </w:t>
      </w:r>
      <w:r w:rsidRPr="004473D0">
        <w:rPr>
          <w:i/>
        </w:rPr>
        <w:t>Medicare Marketing Guidelines</w:t>
      </w:r>
      <w:r w:rsidRPr="00FD51DC">
        <w:t>, Section 30</w:t>
      </w:r>
      <w:r w:rsidR="00346CB6" w:rsidRPr="00FD51DC">
        <w:t>.</w:t>
      </w:r>
      <w:r w:rsidR="00516CF9" w:rsidRPr="00FD51DC">
        <w:t>4</w:t>
      </w:r>
      <w:r w:rsidRPr="00FD51DC">
        <w:t>)</w:t>
      </w:r>
    </w:p>
    <w:p w:rsidR="00FB003F" w:rsidRPr="007B1F78" w:rsidRDefault="00C64137" w:rsidP="00CD7797">
      <w:pPr>
        <w:pStyle w:val="ReadinessOutlineI"/>
      </w:pPr>
      <w:r w:rsidRPr="007B1F78">
        <w:t xml:space="preserve">Formulary </w:t>
      </w:r>
      <w:r w:rsidR="00F94539" w:rsidRPr="007B1F78">
        <w:t>– Part D Sponsors</w:t>
      </w:r>
    </w:p>
    <w:p w:rsidR="00020607" w:rsidRPr="006C396A" w:rsidRDefault="00020607" w:rsidP="000F433C">
      <w:pPr>
        <w:pStyle w:val="OutlineParagraph"/>
      </w:pPr>
      <w:r w:rsidRPr="007B1F78">
        <w:t>Ensure your organization’s formulary is updated on the website when changes are made</w:t>
      </w:r>
      <w:r w:rsidR="00317A8B">
        <w:t>, and that only approved formularies are marketed</w:t>
      </w:r>
      <w:r w:rsidRPr="007B1F78">
        <w:t>.</w:t>
      </w:r>
      <w:r w:rsidR="006C396A">
        <w:t xml:space="preserve">  </w:t>
      </w:r>
      <w:r w:rsidRPr="006C396A">
        <w:t>(</w:t>
      </w:r>
      <w:r w:rsidRPr="004473D0">
        <w:rPr>
          <w:i/>
        </w:rPr>
        <w:t>Medicare Marketing Guidelin</w:t>
      </w:r>
      <w:r w:rsidRPr="006C396A">
        <w:t>es, Section 60.5)</w:t>
      </w:r>
    </w:p>
    <w:p w:rsidR="00BD34E7" w:rsidRPr="00510D06" w:rsidRDefault="00BD34E7" w:rsidP="00CD7797">
      <w:pPr>
        <w:pStyle w:val="ReadinessOutlineI"/>
      </w:pPr>
      <w:r w:rsidRPr="00510D06">
        <w:t>Referencing Star Ratings in Marketing Materials</w:t>
      </w:r>
      <w:r w:rsidR="00B15CDC" w:rsidRPr="00510D06">
        <w:t xml:space="preserve"> </w:t>
      </w:r>
      <w:r w:rsidR="00DC479F">
        <w:t>-</w:t>
      </w:r>
      <w:r w:rsidR="00DC479F" w:rsidRPr="00DC479F">
        <w:t xml:space="preserve"> </w:t>
      </w:r>
      <w:r w:rsidR="00DC479F" w:rsidRPr="007B1F78">
        <w:t>Medicare Advantage Organizations</w:t>
      </w:r>
      <w:r w:rsidR="00DC479F">
        <w:t xml:space="preserve">, and </w:t>
      </w:r>
      <w:r w:rsidR="00DC479F" w:rsidRPr="007B1F78">
        <w:t>Part D Sponsors</w:t>
      </w:r>
    </w:p>
    <w:p w:rsidR="009F00B9" w:rsidRDefault="00CB7300" w:rsidP="009722A9">
      <w:pPr>
        <w:pStyle w:val="ReadinessBullett1"/>
      </w:pPr>
      <w:r>
        <w:t>P</w:t>
      </w:r>
      <w:r w:rsidR="009F00B9" w:rsidRPr="00ED516E">
        <w:t xml:space="preserve">rovide the overall Star Ratings information to beneficiaries through the CMS </w:t>
      </w:r>
      <w:r w:rsidR="009F00B9" w:rsidRPr="00E45679">
        <w:t xml:space="preserve">standardized </w:t>
      </w:r>
      <w:r w:rsidR="009F00B9" w:rsidRPr="003F0C2D">
        <w:t>Star Ratings information document</w:t>
      </w:r>
      <w:r w:rsidR="00BB402D">
        <w:t>, which</w:t>
      </w:r>
      <w:r w:rsidR="009F00B9" w:rsidRPr="003F0C2D">
        <w:t xml:space="preserve"> must be distributed with any enrollment form and</w:t>
      </w:r>
      <w:r w:rsidR="00214148">
        <w:t xml:space="preserve"> </w:t>
      </w:r>
      <w:r w:rsidR="009F00B9" w:rsidRPr="003F0C2D">
        <w:t>S</w:t>
      </w:r>
      <w:r w:rsidR="00214148">
        <w:t xml:space="preserve">ummary of </w:t>
      </w:r>
      <w:r w:rsidR="009F00B9" w:rsidRPr="003F0C2D">
        <w:t>B</w:t>
      </w:r>
      <w:r w:rsidR="00214148">
        <w:t>enefits (SB) document</w:t>
      </w:r>
      <w:r w:rsidR="009F00B9" w:rsidRPr="003F0C2D">
        <w:t>.</w:t>
      </w:r>
    </w:p>
    <w:p w:rsidR="009F00B9" w:rsidRPr="00ED516E" w:rsidRDefault="00CB7300" w:rsidP="009722A9">
      <w:pPr>
        <w:pStyle w:val="ReadinessBullett1"/>
      </w:pPr>
      <w:r>
        <w:t>E</w:t>
      </w:r>
      <w:r w:rsidR="009F00B9" w:rsidRPr="00ED516E">
        <w:t xml:space="preserve">nsure that any references to Star Ratings comply with the </w:t>
      </w:r>
      <w:r w:rsidR="009F00B9">
        <w:t>201</w:t>
      </w:r>
      <w:r w:rsidR="00212ADF">
        <w:t>6</w:t>
      </w:r>
      <w:r w:rsidR="009F00B9">
        <w:t xml:space="preserve"> requirements. </w:t>
      </w:r>
    </w:p>
    <w:p w:rsidR="00BD34E7" w:rsidRPr="00D50C23" w:rsidRDefault="000F17E3" w:rsidP="000F433C">
      <w:pPr>
        <w:pStyle w:val="OutlineParagraph"/>
      </w:pPr>
      <w:r w:rsidRPr="00D50C23">
        <w:t>(</w:t>
      </w:r>
      <w:r w:rsidR="00212ADF">
        <w:t xml:space="preserve">HPMS memo 10/05/2015 and </w:t>
      </w:r>
      <w:r w:rsidRPr="004473D0">
        <w:rPr>
          <w:i/>
        </w:rPr>
        <w:t>Medicare Marketing Guidelines</w:t>
      </w:r>
      <w:r w:rsidRPr="00D50C23">
        <w:t>, Section</w:t>
      </w:r>
      <w:r w:rsidR="00FD51DC">
        <w:t>s</w:t>
      </w:r>
      <w:r w:rsidRPr="00D50C23">
        <w:t xml:space="preserve"> 30</w:t>
      </w:r>
      <w:r w:rsidR="00FD51DC">
        <w:t>, 40, 50</w:t>
      </w:r>
      <w:r w:rsidRPr="00D50C23">
        <w:t>)</w:t>
      </w:r>
      <w:r w:rsidRPr="00826260">
        <w:rPr>
          <w:color w:val="000000"/>
        </w:rPr>
        <w:t xml:space="preserve"> </w:t>
      </w:r>
    </w:p>
    <w:p w:rsidR="00B501F2" w:rsidRPr="007B1F78" w:rsidRDefault="00C64137" w:rsidP="00CD7797">
      <w:pPr>
        <w:pStyle w:val="ReadinessOutlineI"/>
      </w:pPr>
      <w:r w:rsidRPr="007B1F78">
        <w:t>Websites</w:t>
      </w:r>
      <w:r w:rsidR="00416AFA" w:rsidRPr="007B1F78">
        <w:t xml:space="preserve"> – Medicare Advantage Organizations</w:t>
      </w:r>
      <w:r w:rsidR="00B501F2" w:rsidRPr="007B1F78">
        <w:t>, Part D Sponsors, and Cost Plans</w:t>
      </w:r>
      <w:r w:rsidR="00416AFA" w:rsidRPr="007B1F78">
        <w:t xml:space="preserve"> </w:t>
      </w:r>
    </w:p>
    <w:p w:rsidR="00B80E5B" w:rsidRDefault="00B80E5B" w:rsidP="009722A9">
      <w:pPr>
        <w:pStyle w:val="ReadinessBullett1"/>
      </w:pPr>
      <w:r>
        <w:t xml:space="preserve">The ANOC/EOC, Provider and/or Pharmacy Directories, Formulary and Utilization Management Documents, and Multi-Language Insert must be posted on the website by September 30 for the upcoming contract year (HPMS Memo 08/13/2015, </w:t>
      </w:r>
      <w:r w:rsidRPr="004473D0">
        <w:rPr>
          <w:i/>
        </w:rPr>
        <w:t>Medicare Marketing Guidelines</w:t>
      </w:r>
      <w:r>
        <w:t xml:space="preserve">, Section 100.1). Note that D-SNPs, 1876 Cost Plans, and New Plans/Part D sponsors should reference the HPMS memo for exceptions to this requirement. </w:t>
      </w:r>
    </w:p>
    <w:p w:rsidR="007D5940" w:rsidRDefault="006C396A" w:rsidP="009722A9">
      <w:pPr>
        <w:pStyle w:val="ReadinessBullett1"/>
      </w:pPr>
      <w:r>
        <w:lastRenderedPageBreak/>
        <w:t>Provider and Pharmacy Directories must be updated at least monthly and contain, among other things, a provider’s ability to accept new patients.  (</w:t>
      </w:r>
      <w:r w:rsidR="00B80E5B">
        <w:t xml:space="preserve">HPMS Memo 8/13/15, </w:t>
      </w:r>
      <w:r w:rsidRPr="004473D0">
        <w:rPr>
          <w:i/>
        </w:rPr>
        <w:t>Medicare Marketing Guidelines</w:t>
      </w:r>
      <w:r>
        <w:t>, Section 100.4)</w:t>
      </w:r>
      <w:r w:rsidR="006E03EE">
        <w:t xml:space="preserve"> </w:t>
      </w:r>
    </w:p>
    <w:p w:rsidR="007D5940" w:rsidRDefault="006C396A" w:rsidP="009722A9">
      <w:pPr>
        <w:pStyle w:val="ReadinessBullett1"/>
      </w:pPr>
      <w:r>
        <w:t>Third-Party w</w:t>
      </w:r>
      <w:r w:rsidR="007D5940">
        <w:t>ebsites</w:t>
      </w:r>
      <w:r>
        <w:t xml:space="preserve"> </w:t>
      </w:r>
      <w:r w:rsidRPr="007D5940">
        <w:t>that market MA and Part D sponsors’ products are expected to meet applicable CMS marketing requirements.</w:t>
      </w:r>
      <w:r>
        <w:t xml:space="preserve"> </w:t>
      </w:r>
      <w:r w:rsidR="00B97840">
        <w:t xml:space="preserve">Entities </w:t>
      </w:r>
      <w:r w:rsidR="004571E5" w:rsidRPr="004571E5">
        <w:t>that market MA and Part D sponsors’ products are expected to meet applicable CMS marketing requirements.</w:t>
      </w:r>
      <w:r w:rsidR="00B97840">
        <w:t xml:space="preserve"> (</w:t>
      </w:r>
      <w:r w:rsidR="00B97840" w:rsidRPr="004473D0">
        <w:rPr>
          <w:i/>
        </w:rPr>
        <w:t>Medicare Marketing Guidelines</w:t>
      </w:r>
      <w:r w:rsidR="00B97840">
        <w:t xml:space="preserve">, Section 100.3)  </w:t>
      </w:r>
      <w:r w:rsidR="004571E5" w:rsidRPr="004571E5">
        <w:t xml:space="preserve"> </w:t>
      </w:r>
    </w:p>
    <w:p w:rsidR="00870769" w:rsidRDefault="00870769" w:rsidP="00870769">
      <w:pPr>
        <w:pStyle w:val="ReadinessBullett1"/>
        <w:numPr>
          <w:ilvl w:val="0"/>
          <w:numId w:val="0"/>
        </w:numPr>
        <w:ind w:left="720" w:hanging="360"/>
      </w:pPr>
    </w:p>
    <w:p w:rsidR="00870769" w:rsidRDefault="00870769" w:rsidP="00870769">
      <w:pPr>
        <w:pStyle w:val="ReadinessBullett1"/>
        <w:numPr>
          <w:ilvl w:val="0"/>
          <w:numId w:val="0"/>
        </w:numPr>
        <w:ind w:left="720" w:hanging="360"/>
      </w:pPr>
    </w:p>
    <w:p w:rsidR="00EB4E69" w:rsidRPr="007B1F78" w:rsidRDefault="00EB4E69" w:rsidP="00CD7797">
      <w:pPr>
        <w:pStyle w:val="ReadinessOutlineI"/>
      </w:pPr>
      <w:r w:rsidRPr="007B1F78">
        <w:t>Agents and Brokers – Medicare Advantage Organizations, Part D Sponsors</w:t>
      </w:r>
      <w:r w:rsidR="00F0713B">
        <w:t>,</w:t>
      </w:r>
      <w:r w:rsidRPr="007B1F78">
        <w:t xml:space="preserve"> and Cost Plans</w:t>
      </w:r>
    </w:p>
    <w:p w:rsidR="00D64E2B" w:rsidRPr="00D64E2B" w:rsidRDefault="00D64E2B" w:rsidP="000F433C">
      <w:pPr>
        <w:pStyle w:val="OutlineParagraph"/>
      </w:pPr>
      <w:r>
        <w:t>Implement Agent/Broker compensation r</w:t>
      </w:r>
      <w:r w:rsidRPr="00D64E2B">
        <w:t>ate</w:t>
      </w:r>
      <w:r>
        <w:t>s, submissions, and t</w:t>
      </w:r>
      <w:r w:rsidRPr="00D64E2B">
        <w:t>r</w:t>
      </w:r>
      <w:r>
        <w:t>aining and testing r</w:t>
      </w:r>
      <w:r w:rsidRPr="00D64E2B">
        <w:t>equirements</w:t>
      </w:r>
      <w:r>
        <w:t xml:space="preserve">.  (HPMS memo </w:t>
      </w:r>
      <w:r w:rsidR="00E414E1">
        <w:t>0</w:t>
      </w:r>
      <w:r>
        <w:t>5/29/2015)</w:t>
      </w:r>
    </w:p>
    <w:p w:rsidR="004571E5" w:rsidRPr="004571E5" w:rsidRDefault="004B4BDE" w:rsidP="00CD7797">
      <w:pPr>
        <w:pStyle w:val="ReadinessOutlineI"/>
      </w:pPr>
      <w:r>
        <w:t>Disclaimers</w:t>
      </w:r>
      <w:r w:rsidR="004571E5" w:rsidRPr="004571E5">
        <w:t xml:space="preserve"> </w:t>
      </w:r>
    </w:p>
    <w:p w:rsidR="004B4BDE" w:rsidRPr="00FD51DC" w:rsidRDefault="004571E5" w:rsidP="000F433C">
      <w:pPr>
        <w:pStyle w:val="OutlineParagraph"/>
      </w:pPr>
      <w:r w:rsidRPr="00FD51DC">
        <w:t>Include the appropriate marketing disclaimer language for plans with limited access to Preferred Cost Sharing Pharmacies.  (HPMS memo 06/24/15)</w:t>
      </w:r>
    </w:p>
    <w:p w:rsidR="006E23DC" w:rsidRPr="00111816" w:rsidRDefault="009626F9" w:rsidP="00FD51DC">
      <w:pPr>
        <w:pStyle w:val="Heading1"/>
        <w:spacing w:after="120"/>
        <w:rPr>
          <w:rFonts w:ascii="Calibri" w:hAnsi="Calibri"/>
        </w:rPr>
      </w:pPr>
      <w:bookmarkStart w:id="15" w:name="_Enrollment/Disenrollment"/>
      <w:bookmarkStart w:id="16" w:name="_Toc431964672"/>
      <w:bookmarkEnd w:id="15"/>
      <w:r w:rsidRPr="00111816">
        <w:rPr>
          <w:rFonts w:ascii="Calibri" w:hAnsi="Calibri"/>
        </w:rPr>
        <w:t xml:space="preserve">F. </w:t>
      </w:r>
      <w:r w:rsidR="00C64137" w:rsidRPr="00111816">
        <w:rPr>
          <w:rFonts w:ascii="Calibri" w:hAnsi="Calibri"/>
        </w:rPr>
        <w:t>Enrollment/Disenrollment</w:t>
      </w:r>
      <w:r w:rsidR="00B75F0E" w:rsidRPr="00111816">
        <w:rPr>
          <w:rFonts w:ascii="Calibri" w:hAnsi="Calibri"/>
        </w:rPr>
        <w:t xml:space="preserve"> and Premium Billing</w:t>
      </w:r>
      <w:bookmarkEnd w:id="16"/>
    </w:p>
    <w:p w:rsidR="00FB003F" w:rsidRPr="007B1F78" w:rsidRDefault="00A2421A" w:rsidP="00CD7797">
      <w:pPr>
        <w:pStyle w:val="Outline1"/>
        <w:numPr>
          <w:ilvl w:val="0"/>
          <w:numId w:val="21"/>
        </w:numPr>
      </w:pPr>
      <w:r>
        <w:t>Timing of</w:t>
      </w:r>
      <w:r w:rsidR="00822259" w:rsidRPr="007B1F78">
        <w:t xml:space="preserve"> </w:t>
      </w:r>
      <w:r w:rsidR="00136AE3" w:rsidRPr="007B1F78">
        <w:t>A</w:t>
      </w:r>
      <w:r w:rsidR="008D124F">
        <w:t xml:space="preserve">nnual </w:t>
      </w:r>
      <w:r w:rsidR="00136AE3" w:rsidRPr="007B1F78">
        <w:t>E</w:t>
      </w:r>
      <w:r w:rsidR="008D124F">
        <w:t xml:space="preserve">nrollment </w:t>
      </w:r>
      <w:r w:rsidR="00136AE3" w:rsidRPr="007B1F78">
        <w:t>P</w:t>
      </w:r>
      <w:r w:rsidR="008D124F">
        <w:t>eriod (AEP)</w:t>
      </w:r>
      <w:r w:rsidR="008D4CEC" w:rsidRPr="007B1F78">
        <w:t xml:space="preserve"> – Medicare Advantage Organizations and Part D Sponsors</w:t>
      </w:r>
    </w:p>
    <w:p w:rsidR="00FB003F" w:rsidRDefault="00FF0E62" w:rsidP="009722A9">
      <w:pPr>
        <w:pStyle w:val="ReadinessBullett1"/>
      </w:pPr>
      <w:r>
        <w:t xml:space="preserve">The AEP begins </w:t>
      </w:r>
      <w:r w:rsidR="00822259" w:rsidRPr="007B1F78">
        <w:t xml:space="preserve">on October 15 and ends on December 7.  An enrollment/disenrollment election type “AEP” cannot be used after the end of the </w:t>
      </w:r>
      <w:r w:rsidR="00822259" w:rsidRPr="006E2D34">
        <w:t>AEP.</w:t>
      </w:r>
      <w:r w:rsidR="006E1DA0">
        <w:t xml:space="preserve"> </w:t>
      </w:r>
    </w:p>
    <w:p w:rsidR="00FF0E62" w:rsidRPr="00F9121B" w:rsidRDefault="00FF0E62" w:rsidP="009722A9">
      <w:pPr>
        <w:pStyle w:val="ReadinessBullett1"/>
        <w:rPr>
          <w:b/>
        </w:rPr>
      </w:pPr>
      <w:r>
        <w:t>S</w:t>
      </w:r>
      <w:r w:rsidRPr="006E2D34">
        <w:t xml:space="preserve">ubmit </w:t>
      </w:r>
      <w:r>
        <w:t xml:space="preserve">non-AEP </w:t>
      </w:r>
      <w:r w:rsidRPr="006E2D34">
        <w:t xml:space="preserve">enrollments for January 1 effective dates beginning </w:t>
      </w:r>
      <w:r w:rsidRPr="00FD51DC">
        <w:t xml:space="preserve">October </w:t>
      </w:r>
      <w:r w:rsidR="00FD51DC" w:rsidRPr="00FD51DC">
        <w:t>5</w:t>
      </w:r>
      <w:r w:rsidRPr="00FD51DC">
        <w:t>, 201</w:t>
      </w:r>
      <w:r w:rsidR="00FD51DC" w:rsidRPr="00FD51DC">
        <w:t>5</w:t>
      </w:r>
      <w:r w:rsidRPr="00FD51DC">
        <w:t>.  Beneficiaries must have a valid election period for a non-AEP enrollm</w:t>
      </w:r>
      <w:r>
        <w:t xml:space="preserve">ent for requests received </w:t>
      </w:r>
      <w:r w:rsidRPr="007B1F78">
        <w:t>after the December 7 deadline.</w:t>
      </w:r>
    </w:p>
    <w:p w:rsidR="008718FB" w:rsidRPr="00F9121B" w:rsidRDefault="000040F3" w:rsidP="009722A9">
      <w:pPr>
        <w:pStyle w:val="ReadinessBullett1"/>
        <w:rPr>
          <w:b/>
        </w:rPr>
      </w:pPr>
      <w:r>
        <w:t>S</w:t>
      </w:r>
      <w:r w:rsidR="009A4035" w:rsidRPr="006E2D34">
        <w:t>ubmit</w:t>
      </w:r>
      <w:r w:rsidR="00587494" w:rsidRPr="006E2D34">
        <w:t xml:space="preserve"> certain</w:t>
      </w:r>
      <w:r w:rsidR="009A4035" w:rsidRPr="006E2D34">
        <w:t xml:space="preserve"> enrollments </w:t>
      </w:r>
      <w:r w:rsidR="00CD3ADE" w:rsidRPr="006E2D34">
        <w:t xml:space="preserve">(e.g., employer group enrollments and enrollments made during an individual’s Initial Coverage Election Period </w:t>
      </w:r>
      <w:r w:rsidR="00CD3ADE" w:rsidRPr="006E2D34">
        <w:lastRenderedPageBreak/>
        <w:t xml:space="preserve">(ICEP)) </w:t>
      </w:r>
      <w:r w:rsidR="009A4035" w:rsidRPr="006E2D34">
        <w:t xml:space="preserve">for January 1 effective dates </w:t>
      </w:r>
      <w:r w:rsidR="00C9023D" w:rsidRPr="006E2D34">
        <w:t xml:space="preserve">beginning </w:t>
      </w:r>
      <w:r w:rsidR="00C9023D" w:rsidRPr="008157DD">
        <w:t xml:space="preserve">October </w:t>
      </w:r>
      <w:r w:rsidR="00B504E6">
        <w:t>5</w:t>
      </w:r>
      <w:r w:rsidR="00C9023D" w:rsidRPr="008157DD">
        <w:t>, 201</w:t>
      </w:r>
      <w:r w:rsidR="00B504E6">
        <w:t>5</w:t>
      </w:r>
      <w:r w:rsidR="009A4035" w:rsidRPr="008157DD">
        <w:t>.</w:t>
      </w:r>
      <w:r w:rsidR="00C9023D" w:rsidRPr="008157DD">
        <w:t xml:space="preserve"> </w:t>
      </w:r>
      <w:r w:rsidR="008718FB" w:rsidRPr="008157DD">
        <w:t>Be</w:t>
      </w:r>
      <w:r w:rsidR="008718FB" w:rsidRPr="007B1F78">
        <w:t xml:space="preserve"> advised that enrollments </w:t>
      </w:r>
      <w:r w:rsidR="00F42211">
        <w:t>received after</w:t>
      </w:r>
      <w:r w:rsidR="008718FB" w:rsidRPr="007B1F78">
        <w:t xml:space="preserve"> December 7, 201</w:t>
      </w:r>
      <w:r w:rsidR="00B504E6">
        <w:t>5</w:t>
      </w:r>
      <w:r w:rsidR="00F42211">
        <w:t xml:space="preserve"> may not be processed as </w:t>
      </w:r>
      <w:r w:rsidR="008718FB" w:rsidRPr="007B1F78">
        <w:t>AEP</w:t>
      </w:r>
      <w:r w:rsidR="00F42211">
        <w:t xml:space="preserve"> elections</w:t>
      </w:r>
      <w:r w:rsidR="008718FB" w:rsidRPr="007B1F78">
        <w:t xml:space="preserve">. </w:t>
      </w:r>
      <w:r w:rsidR="00F42211">
        <w:t>B</w:t>
      </w:r>
      <w:r w:rsidR="008718FB" w:rsidRPr="007B1F78">
        <w:t xml:space="preserve">eneficiaries </w:t>
      </w:r>
      <w:r w:rsidR="00F42211">
        <w:t xml:space="preserve">must be eligible for </w:t>
      </w:r>
      <w:r w:rsidR="008718FB" w:rsidRPr="007B1F78">
        <w:t>a valid</w:t>
      </w:r>
      <w:r w:rsidR="00F42211">
        <w:t xml:space="preserve"> Initial</w:t>
      </w:r>
      <w:r w:rsidR="008718FB" w:rsidRPr="007B1F78">
        <w:t xml:space="preserve"> Election Period</w:t>
      </w:r>
      <w:r w:rsidR="00F42211">
        <w:t xml:space="preserve"> or Special Enrollment Period</w:t>
      </w:r>
      <w:r w:rsidR="008718FB" w:rsidRPr="007B1F78">
        <w:t xml:space="preserve"> (SEP) </w:t>
      </w:r>
      <w:r w:rsidR="00F42211">
        <w:t xml:space="preserve">for requests received </w:t>
      </w:r>
      <w:r w:rsidR="008718FB" w:rsidRPr="007B1F78">
        <w:t>after the December 7 deadline.</w:t>
      </w:r>
    </w:p>
    <w:p w:rsidR="00F9121B" w:rsidRPr="00F9121B" w:rsidRDefault="00F9121B" w:rsidP="000F433C">
      <w:pPr>
        <w:pStyle w:val="OutlineParagraph"/>
      </w:pPr>
      <w:r w:rsidRPr="00F9121B">
        <w:t>(HPMS memo dated 09/</w:t>
      </w:r>
      <w:r w:rsidR="005373BC">
        <w:t>29</w:t>
      </w:r>
      <w:r w:rsidRPr="00F9121B">
        <w:t>/</w:t>
      </w:r>
      <w:r w:rsidR="005373BC">
        <w:t>2015</w:t>
      </w:r>
      <w:r w:rsidRPr="00F9121B">
        <w:t>)</w:t>
      </w:r>
    </w:p>
    <w:p w:rsidR="007F02EB" w:rsidRPr="007B1F78" w:rsidRDefault="00CD3ADE" w:rsidP="00CD7797">
      <w:pPr>
        <w:pStyle w:val="ReadinessOutlineI"/>
      </w:pPr>
      <w:r>
        <w:t>Medicare Advantage</w:t>
      </w:r>
      <w:r w:rsidRPr="007B1F78">
        <w:t xml:space="preserve"> Disenrollment </w:t>
      </w:r>
      <w:r w:rsidR="00095CD7">
        <w:t xml:space="preserve"> </w:t>
      </w:r>
      <w:r w:rsidRPr="007B1F78">
        <w:t>– Medicare Advantage Organizations and Part D Sponsors</w:t>
      </w:r>
    </w:p>
    <w:p w:rsidR="00C01271" w:rsidRDefault="00C01271" w:rsidP="000F433C">
      <w:pPr>
        <w:pStyle w:val="OutlineParagraph"/>
      </w:pPr>
      <w:r>
        <w:t xml:space="preserve">The </w:t>
      </w:r>
      <w:r w:rsidR="00441406">
        <w:t>Medicare Advantage</w:t>
      </w:r>
      <w:r w:rsidR="00441406" w:rsidRPr="007B1F78">
        <w:t xml:space="preserve"> Disenrollment Period (</w:t>
      </w:r>
      <w:r w:rsidR="00441406">
        <w:t>M</w:t>
      </w:r>
      <w:r w:rsidR="00441406" w:rsidRPr="007B1F78">
        <w:t>ADP)</w:t>
      </w:r>
      <w:r w:rsidR="00CD3ADE" w:rsidRPr="007B1F78">
        <w:t xml:space="preserve"> </w:t>
      </w:r>
      <w:r w:rsidR="00CD3ADE">
        <w:t>begins on January 1 and ends on February 1</w:t>
      </w:r>
      <w:r w:rsidR="002528B5">
        <w:t>4</w:t>
      </w:r>
      <w:r w:rsidR="00CD3ADE">
        <w:t>.</w:t>
      </w:r>
      <w:r w:rsidR="00CD3ADE" w:rsidRPr="007B1F78">
        <w:t xml:space="preserve"> </w:t>
      </w:r>
      <w:r w:rsidR="00CD3ADE">
        <w:t>A</w:t>
      </w:r>
      <w:r w:rsidR="00CD3ADE" w:rsidRPr="007B1F78">
        <w:t xml:space="preserve"> MA enrollee may </w:t>
      </w:r>
      <w:r w:rsidR="00CD3ADE">
        <w:t>disenroll</w:t>
      </w:r>
      <w:r w:rsidR="00CD3ADE" w:rsidRPr="007B1F78">
        <w:t xml:space="preserve"> </w:t>
      </w:r>
      <w:r w:rsidR="00332FF4">
        <w:t xml:space="preserve">from </w:t>
      </w:r>
      <w:r w:rsidR="00CD3ADE" w:rsidRPr="007B1F78">
        <w:t xml:space="preserve">the coverage and </w:t>
      </w:r>
      <w:r w:rsidR="00CD3ADE">
        <w:t>go back to O</w:t>
      </w:r>
      <w:r w:rsidR="00CD3ADE" w:rsidRPr="007B1F78">
        <w:t>riginal Medicare</w:t>
      </w:r>
      <w:r w:rsidR="00CD3ADE">
        <w:t xml:space="preserve">. If </w:t>
      </w:r>
      <w:r w:rsidR="00FF0E62">
        <w:t>an individual</w:t>
      </w:r>
      <w:r w:rsidR="000B076F">
        <w:t xml:space="preserve"> has </w:t>
      </w:r>
      <w:r w:rsidR="00CD3ADE">
        <w:t xml:space="preserve">disenrolled from a MA plan, </w:t>
      </w:r>
      <w:r w:rsidR="00FF0E62">
        <w:t>the individual</w:t>
      </w:r>
      <w:r w:rsidR="000B076F">
        <w:t xml:space="preserve"> </w:t>
      </w:r>
      <w:r w:rsidR="00CD3ADE">
        <w:t xml:space="preserve">may also enroll in a stand-alone Part D plan. </w:t>
      </w:r>
    </w:p>
    <w:p w:rsidR="00FB003F" w:rsidRPr="007B1F78" w:rsidRDefault="00136AE3" w:rsidP="00CD7797">
      <w:pPr>
        <w:pStyle w:val="ReadinessOutlineI"/>
      </w:pPr>
      <w:r w:rsidRPr="007B1F78">
        <w:t>SEP</w:t>
      </w:r>
      <w:r w:rsidR="00822259" w:rsidRPr="007B1F78">
        <w:t xml:space="preserve"> </w:t>
      </w:r>
      <w:r w:rsidR="00A16FB3" w:rsidRPr="007B1F78">
        <w:t>for</w:t>
      </w:r>
      <w:r w:rsidR="00822259" w:rsidRPr="007B1F78">
        <w:t xml:space="preserve"> Enrollment into a 5-Star Plan  </w:t>
      </w:r>
      <w:r w:rsidR="008D4CEC" w:rsidRPr="007B1F78">
        <w:t>– Medicare Advantage Organizations and Part D Sponsors</w:t>
      </w:r>
    </w:p>
    <w:p w:rsidR="00864AA0" w:rsidRDefault="00F30859" w:rsidP="000F433C">
      <w:pPr>
        <w:pStyle w:val="OutlineParagraph"/>
      </w:pPr>
      <w:r w:rsidRPr="00F30859">
        <w:t xml:space="preserve">Beneficiaries may enroll </w:t>
      </w:r>
      <w:r>
        <w:t xml:space="preserve">in </w:t>
      </w:r>
      <w:r w:rsidRPr="00F30859">
        <w:t>a plan awarded an overall 5-star rating for 2</w:t>
      </w:r>
      <w:r>
        <w:t>016</w:t>
      </w:r>
      <w:r w:rsidRPr="00F30859">
        <w:t>, provided the beneficiary is otherwise eligible for that plan. An individual may only use this SEP one time between December 8 and November 30</w:t>
      </w:r>
      <w:r>
        <w:t>.</w:t>
      </w:r>
      <w:r w:rsidRPr="00F30859">
        <w:t xml:space="preserve"> 5-Star plans must be prepared to accept all valid enrollment requests made using this SEP.  (</w:t>
      </w:r>
      <w:r w:rsidRPr="004473D0">
        <w:rPr>
          <w:i/>
        </w:rPr>
        <w:t>Medicare Managed Care M</w:t>
      </w:r>
      <w:r w:rsidRPr="00F30859">
        <w:t xml:space="preserve">anual Ch. 2, sec. 30.4.4; </w:t>
      </w:r>
      <w:r w:rsidRPr="004473D0">
        <w:rPr>
          <w:i/>
        </w:rPr>
        <w:t>Medicare Prescription Drug Plan Benefit Manual</w:t>
      </w:r>
      <w:r w:rsidRPr="00F30859">
        <w:t xml:space="preserve"> Ch. 3, sec. 30.3.8)</w:t>
      </w:r>
    </w:p>
    <w:p w:rsidR="00061B87" w:rsidRDefault="00061B87">
      <w:pPr>
        <w:spacing w:before="0" w:after="0"/>
        <w:rPr>
          <w:rFonts w:asciiTheme="minorHAnsi" w:hAnsiTheme="minorHAnsi"/>
          <w:b/>
        </w:rPr>
      </w:pPr>
      <w:r>
        <w:br w:type="page"/>
      </w:r>
    </w:p>
    <w:p w:rsidR="00FB003F" w:rsidRDefault="00C64137" w:rsidP="00CD7797">
      <w:pPr>
        <w:pStyle w:val="ReadinessOutlineI"/>
      </w:pPr>
      <w:r w:rsidRPr="007B1F78">
        <w:lastRenderedPageBreak/>
        <w:t xml:space="preserve">Enrollment </w:t>
      </w:r>
      <w:r w:rsidR="00CD3ADE">
        <w:t>Processes and</w:t>
      </w:r>
      <w:r w:rsidRPr="007B1F78">
        <w:t xml:space="preserve"> Notices</w:t>
      </w:r>
      <w:r w:rsidR="00441406">
        <w:t xml:space="preserve"> </w:t>
      </w:r>
      <w:r w:rsidR="008D4CEC" w:rsidRPr="007B1F78">
        <w:t>– Medicare Advantage Organizations and Part D Sponsors</w:t>
      </w:r>
    </w:p>
    <w:p w:rsidR="00864AA0" w:rsidRDefault="00482E1D" w:rsidP="000F433C">
      <w:pPr>
        <w:pStyle w:val="OutlineParagraph"/>
        <w:rPr>
          <w:b/>
        </w:rPr>
      </w:pPr>
      <w:r>
        <w:t>For</w:t>
      </w:r>
      <w:r w:rsidRPr="00482E1D">
        <w:t xml:space="preserve"> </w:t>
      </w:r>
      <w:r>
        <w:t xml:space="preserve">enrollments effective January </w:t>
      </w:r>
      <w:r w:rsidR="00F30859">
        <w:t>2016</w:t>
      </w:r>
      <w:r>
        <w:t xml:space="preserve"> </w:t>
      </w:r>
      <w:r w:rsidR="00441406">
        <w:t xml:space="preserve">and later, electronic enrollment mechanisms </w:t>
      </w:r>
      <w:r>
        <w:t>via a third-party website or non-plan own</w:t>
      </w:r>
      <w:r w:rsidR="00441406">
        <w:t xml:space="preserve">ed electronic device, mechanism, </w:t>
      </w:r>
      <w:r>
        <w:t xml:space="preserve">or software </w:t>
      </w:r>
      <w:r w:rsidR="00282A5F">
        <w:t>are</w:t>
      </w:r>
      <w:r>
        <w:t xml:space="preserve"> permitted.  (HPMS memo </w:t>
      </w:r>
      <w:r w:rsidRPr="002C39F8">
        <w:t>07/06/2015)</w:t>
      </w:r>
    </w:p>
    <w:p w:rsidR="00FB003F" w:rsidRPr="007B1F78" w:rsidRDefault="00C64137" w:rsidP="00CD7797">
      <w:pPr>
        <w:pStyle w:val="ReadinessOutlineI"/>
      </w:pPr>
      <w:r w:rsidRPr="007B1F78">
        <w:t xml:space="preserve">Online Enrollment Center </w:t>
      </w:r>
      <w:r w:rsidR="00B75F0E" w:rsidRPr="007B1F78">
        <w:t>– Medicare Advantage Organizations and Part D Sponsors (Excluding MSA</w:t>
      </w:r>
      <w:r w:rsidR="00D46D13">
        <w:t xml:space="preserve">, </w:t>
      </w:r>
      <w:r w:rsidR="00B75F0E" w:rsidRPr="007B1F78">
        <w:t>800-Series-Only</w:t>
      </w:r>
      <w:r w:rsidR="00061B87">
        <w:t>,</w:t>
      </w:r>
      <w:r w:rsidR="00D46D13">
        <w:t xml:space="preserve"> and Medicare-Medicaid plans</w:t>
      </w:r>
      <w:r w:rsidR="00B75F0E" w:rsidRPr="007B1F78">
        <w:t>; Optional for SNPs</w:t>
      </w:r>
      <w:r w:rsidR="00D46D13">
        <w:t>, RFB</w:t>
      </w:r>
      <w:r w:rsidR="00061B87">
        <w:t>,</w:t>
      </w:r>
      <w:r w:rsidR="00B75F0E" w:rsidRPr="007B1F78">
        <w:t xml:space="preserve"> and 1876 cost plans; Required for PDP and MA-PD)   </w:t>
      </w:r>
    </w:p>
    <w:p w:rsidR="00FB003F" w:rsidRPr="00FB013E" w:rsidRDefault="008B15CE" w:rsidP="009722A9">
      <w:pPr>
        <w:pStyle w:val="ReadinessBullett1"/>
        <w:rPr>
          <w:b/>
        </w:rPr>
      </w:pPr>
      <w:r w:rsidRPr="007B1F78">
        <w:t>Establish</w:t>
      </w:r>
      <w:r w:rsidR="00F30859">
        <w:t xml:space="preserve"> and </w:t>
      </w:r>
      <w:r w:rsidRPr="007B1F78">
        <w:t xml:space="preserve">maintain a process to download enrollment </w:t>
      </w:r>
      <w:r w:rsidRPr="00FB013E">
        <w:rPr>
          <w:u w:val="single"/>
        </w:rPr>
        <w:t xml:space="preserve">at least </w:t>
      </w:r>
      <w:r w:rsidR="001553FD">
        <w:t xml:space="preserve">once </w:t>
      </w:r>
      <w:r w:rsidR="009C002D">
        <w:t>daily</w:t>
      </w:r>
      <w:r w:rsidRPr="007B1F78">
        <w:t xml:space="preserve"> from the Online Enrollment Center (OEC) unless your organization is prohibited from participating in the OEC. (</w:t>
      </w:r>
      <w:r w:rsidR="003B367B" w:rsidRPr="004473D0">
        <w:rPr>
          <w:i/>
        </w:rPr>
        <w:t>Medicare Managed Care Manual</w:t>
      </w:r>
      <w:r w:rsidR="003B367B" w:rsidRPr="00F30859">
        <w:t xml:space="preserve"> Ch. 2, sec. </w:t>
      </w:r>
      <w:r w:rsidR="003B367B">
        <w:t>40.1.2</w:t>
      </w:r>
      <w:r w:rsidR="003B367B" w:rsidRPr="00F30859">
        <w:t xml:space="preserve">; </w:t>
      </w:r>
      <w:r w:rsidR="003B367B" w:rsidRPr="004473D0">
        <w:rPr>
          <w:i/>
        </w:rPr>
        <w:t>Medicare Prescription Drug Plan Benefit Manual</w:t>
      </w:r>
      <w:r w:rsidR="003B367B" w:rsidRPr="00F30859">
        <w:t xml:space="preserve"> Ch. 3, sec. </w:t>
      </w:r>
      <w:r w:rsidR="003B367B">
        <w:t>40.1.2, AND e</w:t>
      </w:r>
      <w:r w:rsidR="00F768D6">
        <w:t>mail from CMS Plan Communications  08/27/2015)</w:t>
      </w:r>
    </w:p>
    <w:p w:rsidR="00070887" w:rsidRDefault="00070887" w:rsidP="009722A9">
      <w:pPr>
        <w:pStyle w:val="ReadinessBullett1"/>
      </w:pPr>
      <w:r w:rsidRPr="007B1F78">
        <w:t xml:space="preserve">The Medicare Plan Finder online enrollment function will be disabled for Medicare </w:t>
      </w:r>
      <w:r w:rsidR="00441406">
        <w:t>Advantage</w:t>
      </w:r>
      <w:r w:rsidRPr="007B1F78">
        <w:t xml:space="preserve"> and </w:t>
      </w:r>
      <w:r w:rsidR="00441406">
        <w:t>P</w:t>
      </w:r>
      <w:r w:rsidRPr="007B1F78">
        <w:t xml:space="preserve">rescription </w:t>
      </w:r>
      <w:r w:rsidR="00441406">
        <w:t>D</w:t>
      </w:r>
      <w:r w:rsidRPr="007B1F78">
        <w:t xml:space="preserve">rug </w:t>
      </w:r>
      <w:r w:rsidR="00441406">
        <w:t>P</w:t>
      </w:r>
      <w:r w:rsidRPr="007B1F78">
        <w:t>lans with low-performing plan icons for CY</w:t>
      </w:r>
      <w:r w:rsidR="00EB0B55" w:rsidRPr="007B1F78">
        <w:t>201</w:t>
      </w:r>
      <w:r w:rsidR="00441406">
        <w:t>6</w:t>
      </w:r>
      <w:r w:rsidR="00EB0B55" w:rsidRPr="007B1F78">
        <w:t xml:space="preserve"> </w:t>
      </w:r>
      <w:r w:rsidRPr="007B1F78">
        <w:t>to assist in guiding beneficiaries towards selecting higher performing plans.</w:t>
      </w:r>
    </w:p>
    <w:p w:rsidR="00FB003F" w:rsidRPr="007B1F78" w:rsidRDefault="00441406" w:rsidP="00CD7797">
      <w:pPr>
        <w:pStyle w:val="ReadinessOutlineI"/>
      </w:pPr>
      <w:r>
        <w:t xml:space="preserve"> </w:t>
      </w:r>
      <w:r w:rsidR="00C64137" w:rsidRPr="007B1F78">
        <w:t xml:space="preserve">Retroactive Enrollments </w:t>
      </w:r>
      <w:r w:rsidR="00B75F0E" w:rsidRPr="007B1F78">
        <w:t xml:space="preserve">– Medicare Advantage Organizations and Part D Sponsors  </w:t>
      </w:r>
    </w:p>
    <w:p w:rsidR="00587494" w:rsidRPr="007B1F78" w:rsidRDefault="00C80358" w:rsidP="009722A9">
      <w:pPr>
        <w:pStyle w:val="ReadinessBullett1"/>
      </w:pPr>
      <w:r w:rsidRPr="007B1F78">
        <w:t>S</w:t>
      </w:r>
      <w:r w:rsidR="00587494" w:rsidRPr="007B1F78">
        <w:t xml:space="preserve">ubmit enrollments and disenrollments directly to MARx </w:t>
      </w:r>
      <w:r w:rsidRPr="007B1F78">
        <w:t>following the</w:t>
      </w:r>
      <w:r w:rsidR="00587494" w:rsidRPr="007B1F78">
        <w:t xml:space="preserve"> “</w:t>
      </w:r>
      <w:r w:rsidR="006B1951">
        <w:t>current calendar month” cycle. </w:t>
      </w:r>
      <w:r w:rsidR="00587494" w:rsidRPr="007B1F78">
        <w:t xml:space="preserve">Organizations can submit enrollments and disenrollments for the current calendar month and for the calendar month prior to the current calendar month, using the </w:t>
      </w:r>
      <w:r w:rsidR="00D01AB1">
        <w:t>User Interface (</w:t>
      </w:r>
      <w:r w:rsidR="00587494" w:rsidRPr="007B1F78">
        <w:t>UI</w:t>
      </w:r>
      <w:r w:rsidR="00D01AB1">
        <w:t>)</w:t>
      </w:r>
      <w:r w:rsidR="00587494" w:rsidRPr="007B1F78">
        <w:t xml:space="preserve"> or in batch submissions. Enrollment into, or disenrollment from, EGHP plans may be submitted via the UI or in batch for the current calendar month minus three months.</w:t>
      </w:r>
    </w:p>
    <w:p w:rsidR="00587494" w:rsidRPr="00104F2F" w:rsidRDefault="00160E14" w:rsidP="009722A9">
      <w:pPr>
        <w:pStyle w:val="ReadinessBullett1"/>
        <w:rPr>
          <w:b/>
          <w:bCs/>
        </w:rPr>
      </w:pPr>
      <w:r>
        <w:t>P</w:t>
      </w:r>
      <w:r w:rsidR="00441406">
        <w:t xml:space="preserve">repare </w:t>
      </w:r>
      <w:r w:rsidR="00587494" w:rsidRPr="007B1F78">
        <w:t xml:space="preserve">systems and processes to support the submission of retroactive enrollment and disenrollment corrections that cannot be accomplished within the Current Calendar Month cycle to the retroactive processing </w:t>
      </w:r>
      <w:r w:rsidR="00587494" w:rsidRPr="007B1F78">
        <w:lastRenderedPageBreak/>
        <w:t xml:space="preserve">contractor (Reed &amp; Associates). These requests must be </w:t>
      </w:r>
      <w:r w:rsidR="006B1951">
        <w:t>made appropriately and timely. </w:t>
      </w:r>
      <w:r w:rsidR="00587494" w:rsidRPr="007B1F78">
        <w:t xml:space="preserve">For more information, please visit </w:t>
      </w:r>
      <w:hyperlink r:id="rId19" w:history="1">
        <w:r w:rsidR="00587494" w:rsidRPr="007B1F78">
          <w:rPr>
            <w:rStyle w:val="Hyperlink"/>
          </w:rPr>
          <w:t>www.reedassociates.org</w:t>
        </w:r>
      </w:hyperlink>
      <w:r w:rsidR="00587494" w:rsidRPr="007B1F78">
        <w:t xml:space="preserve">.  </w:t>
      </w:r>
    </w:p>
    <w:p w:rsidR="00FB003F" w:rsidRPr="007B1F78" w:rsidRDefault="004A25F1" w:rsidP="00CD7797">
      <w:pPr>
        <w:pStyle w:val="ReadinessOutlineI"/>
      </w:pPr>
      <w:r w:rsidRPr="007B1F78">
        <w:t xml:space="preserve">Premium </w:t>
      </w:r>
      <w:r w:rsidR="000D1882" w:rsidRPr="007B1F78">
        <w:t xml:space="preserve">Billing </w:t>
      </w:r>
      <w:r w:rsidR="00EF7175" w:rsidRPr="007B1F78">
        <w:t>– Medicare Advantage Organizations</w:t>
      </w:r>
      <w:r w:rsidR="00B4302D">
        <w:t>, Medicare Cost Plans,</w:t>
      </w:r>
      <w:r w:rsidR="00EF7175" w:rsidRPr="007B1F78">
        <w:t xml:space="preserve"> and Part D Sponsors</w:t>
      </w:r>
    </w:p>
    <w:p w:rsidR="00F30859" w:rsidRDefault="00F30859" w:rsidP="009722A9">
      <w:pPr>
        <w:pStyle w:val="ReadinessBullett1"/>
      </w:pPr>
      <w:r>
        <w:t>P</w:t>
      </w:r>
      <w:r w:rsidRPr="007B1F78">
        <w:t>roperly process notifications from CMS of reinstatement for good cause</w:t>
      </w:r>
      <w:r>
        <w:t xml:space="preserve"> for Part D-</w:t>
      </w:r>
      <w:r w:rsidR="000F42C9">
        <w:t>Income Related Monthly Adjustment Amount (</w:t>
      </w:r>
      <w:r>
        <w:t>IRMAA</w:t>
      </w:r>
      <w:r w:rsidR="000F42C9">
        <w:t>)</w:t>
      </w:r>
      <w:r>
        <w:t xml:space="preserve"> cases.  U</w:t>
      </w:r>
      <w:r w:rsidRPr="007B1F78">
        <w:t xml:space="preserve">pon disenrollment for failure to pay the plan’s premium or </w:t>
      </w:r>
      <w:r>
        <w:t xml:space="preserve">Part </w:t>
      </w:r>
      <w:r w:rsidRPr="007B1F78">
        <w:t xml:space="preserve">D-IRMAA, CMS will make all decisions about reinstating beneficiaries on the basis of </w:t>
      </w:r>
      <w:r>
        <w:t>g</w:t>
      </w:r>
      <w:r w:rsidRPr="007B1F78">
        <w:t xml:space="preserve">ood </w:t>
      </w:r>
      <w:r>
        <w:t>c</w:t>
      </w:r>
      <w:r w:rsidRPr="007B1F78">
        <w:t>ause</w:t>
      </w:r>
      <w:r>
        <w:t>.</w:t>
      </w:r>
      <w:r w:rsidRPr="007B1F78">
        <w:t xml:space="preserve"> </w:t>
      </w:r>
    </w:p>
    <w:p w:rsidR="00F30859" w:rsidRDefault="00F30859" w:rsidP="009722A9">
      <w:pPr>
        <w:pStyle w:val="ReadinessBullett1"/>
      </w:pPr>
      <w:r w:rsidRPr="00F30859">
        <w:t xml:space="preserve">Establish a process to receive </w:t>
      </w:r>
      <w:r w:rsidR="00C855C3" w:rsidRPr="00FB013E">
        <w:rPr>
          <w:i/>
        </w:rPr>
        <w:t>G</w:t>
      </w:r>
      <w:r w:rsidRPr="00FB013E">
        <w:rPr>
          <w:i/>
        </w:rPr>
        <w:t xml:space="preserve">ood </w:t>
      </w:r>
      <w:r w:rsidR="00C855C3" w:rsidRPr="00FB013E">
        <w:rPr>
          <w:i/>
        </w:rPr>
        <w:t>C</w:t>
      </w:r>
      <w:r w:rsidRPr="00FB013E">
        <w:rPr>
          <w:i/>
        </w:rPr>
        <w:t xml:space="preserve">ause </w:t>
      </w:r>
      <w:r w:rsidR="00C855C3" w:rsidRPr="00FB013E">
        <w:rPr>
          <w:i/>
        </w:rPr>
        <w:t>R</w:t>
      </w:r>
      <w:r w:rsidRPr="00FB013E">
        <w:rPr>
          <w:i/>
        </w:rPr>
        <w:t>equests</w:t>
      </w:r>
      <w:r w:rsidRPr="00F30859">
        <w:t xml:space="preserve"> for disenrollments for failure to pay plan premiums.  Starting with disenrollment effective dates as of January 1, 2016, plans are responsible for all aspects of the good cause process, including receiving requests, making good cause determinations, notifying the beneficiary, collecting payment</w:t>
      </w:r>
      <w:r w:rsidR="00061B87">
        <w:t>,</w:t>
      </w:r>
      <w:r w:rsidRPr="00F30859">
        <w:t xml:space="preserve"> and submitting the reinstatement requests to the Retroactive Processing Contractor. Reinstatement criteria are narrowly defined. (</w:t>
      </w:r>
      <w:r w:rsidRPr="004473D0">
        <w:rPr>
          <w:i/>
        </w:rPr>
        <w:t>Medicare Managed Care Manual</w:t>
      </w:r>
      <w:r w:rsidRPr="00F30859">
        <w:t xml:space="preserve"> Chapter 2, Section 60, and </w:t>
      </w:r>
      <w:r w:rsidR="00FB652B">
        <w:rPr>
          <w:i/>
        </w:rPr>
        <w:t xml:space="preserve">Medicare </w:t>
      </w:r>
      <w:r w:rsidRPr="004473D0">
        <w:rPr>
          <w:i/>
        </w:rPr>
        <w:t>Prescription Drug Benefit Manual Chapter</w:t>
      </w:r>
      <w:r w:rsidRPr="00F30859">
        <w:t xml:space="preserve"> 3, Section 60)</w:t>
      </w:r>
    </w:p>
    <w:p w:rsidR="005F729E" w:rsidRPr="00111816" w:rsidRDefault="009626F9" w:rsidP="00DE68DB">
      <w:pPr>
        <w:pStyle w:val="Heading1"/>
        <w:spacing w:before="120" w:after="120"/>
        <w:ind w:left="360" w:hanging="360"/>
        <w:rPr>
          <w:rFonts w:ascii="Calibri" w:hAnsi="Calibri"/>
        </w:rPr>
      </w:pPr>
      <w:bookmarkStart w:id="17" w:name="_Toc431964673"/>
      <w:r w:rsidRPr="00111816">
        <w:rPr>
          <w:rFonts w:ascii="Calibri" w:hAnsi="Calibri"/>
        </w:rPr>
        <w:t xml:space="preserve">G. </w:t>
      </w:r>
      <w:r w:rsidR="005F729E" w:rsidRPr="00111816">
        <w:rPr>
          <w:rFonts w:ascii="Calibri" w:hAnsi="Calibri"/>
        </w:rPr>
        <w:t>Late Enrollment Penalty (LEP) and Creditable Coverage</w:t>
      </w:r>
      <w:r w:rsidR="002F7FFE" w:rsidRPr="00111816">
        <w:rPr>
          <w:rFonts w:ascii="Calibri" w:hAnsi="Calibri"/>
        </w:rPr>
        <w:t xml:space="preserve"> – Part D Sponsors</w:t>
      </w:r>
      <w:bookmarkEnd w:id="17"/>
    </w:p>
    <w:p w:rsidR="00864AA0" w:rsidRPr="00864AA0" w:rsidRDefault="00C84CCD" w:rsidP="00CD7797">
      <w:pPr>
        <w:pStyle w:val="Outline1"/>
        <w:numPr>
          <w:ilvl w:val="0"/>
          <w:numId w:val="22"/>
        </w:numPr>
      </w:pPr>
      <w:r>
        <w:t xml:space="preserve">Charge the </w:t>
      </w:r>
      <w:r w:rsidR="00864AA0">
        <w:t xml:space="preserve">correct </w:t>
      </w:r>
      <w:r w:rsidR="00864AA0" w:rsidRPr="007B1F78">
        <w:t>LEP</w:t>
      </w:r>
      <w:r w:rsidR="00864AA0">
        <w:t xml:space="preserve"> </w:t>
      </w:r>
      <w:r>
        <w:t xml:space="preserve">for beneficiaries </w:t>
      </w:r>
      <w:r w:rsidR="00864AA0">
        <w:t>based on CMS’s LEP reports</w:t>
      </w:r>
      <w:r w:rsidR="00864AA0" w:rsidRPr="007B1F78">
        <w:t xml:space="preserve"> </w:t>
      </w:r>
      <w:r w:rsidR="00864AA0" w:rsidRPr="00CD7797">
        <w:rPr>
          <w:rFonts w:ascii="Calibri" w:eastAsia="Calibri" w:hAnsi="Calibri" w:cs="Calibri"/>
        </w:rPr>
        <w:t>(Medicare Prescription Drug Benefit</w:t>
      </w:r>
      <w:r w:rsidR="00AA13F6" w:rsidRPr="00CD7797">
        <w:rPr>
          <w:rFonts w:ascii="Calibri" w:eastAsia="Calibri" w:hAnsi="Calibri" w:cs="Calibri"/>
        </w:rPr>
        <w:t xml:space="preserve"> </w:t>
      </w:r>
      <w:r w:rsidR="00864AA0" w:rsidRPr="00CD7797">
        <w:rPr>
          <w:rFonts w:ascii="Calibri" w:eastAsia="Calibri" w:hAnsi="Calibri" w:cs="Calibri"/>
        </w:rPr>
        <w:t>Manual</w:t>
      </w:r>
      <w:r w:rsidR="00AA13F6" w:rsidRPr="00CD7797">
        <w:rPr>
          <w:rFonts w:ascii="Calibri" w:eastAsia="Calibri" w:hAnsi="Calibri" w:cs="Calibri"/>
        </w:rPr>
        <w:t>,</w:t>
      </w:r>
      <w:r w:rsidR="00864AA0" w:rsidRPr="00CD7797">
        <w:rPr>
          <w:rFonts w:ascii="Calibri" w:eastAsia="Calibri" w:hAnsi="Calibri" w:cs="Calibri"/>
        </w:rPr>
        <w:t xml:space="preserve"> Chapter 4</w:t>
      </w:r>
      <w:r w:rsidR="00AA13F6" w:rsidRPr="00CD7797">
        <w:rPr>
          <w:rFonts w:ascii="Calibri" w:eastAsia="Calibri" w:hAnsi="Calibri" w:cs="Calibri"/>
        </w:rPr>
        <w:t>,</w:t>
      </w:r>
      <w:r w:rsidR="00864AA0" w:rsidRPr="00CD7797">
        <w:rPr>
          <w:rFonts w:ascii="Calibri" w:eastAsia="Calibri" w:hAnsi="Calibri" w:cs="Calibri"/>
        </w:rPr>
        <w:t xml:space="preserve"> Section 40)</w:t>
      </w:r>
    </w:p>
    <w:p w:rsidR="00FC69E2" w:rsidRPr="000F433C" w:rsidRDefault="00C84CCD" w:rsidP="000F433C">
      <w:pPr>
        <w:pStyle w:val="OutlineParagraph"/>
        <w:rPr>
          <w:b/>
        </w:rPr>
      </w:pPr>
      <w:r>
        <w:t xml:space="preserve">Process </w:t>
      </w:r>
      <w:r w:rsidR="00864AA0" w:rsidRPr="007B1F78">
        <w:t>LEP changes, refunds due to error, or LIS redetermination</w:t>
      </w:r>
      <w:r>
        <w:t>s timely</w:t>
      </w:r>
      <w:r w:rsidR="00864AA0" w:rsidRPr="007B1F78">
        <w:t xml:space="preserve">. Changes are reported in the Monthly Premium Withhold Report Data File, LEP report, and </w:t>
      </w:r>
      <w:r w:rsidR="000F42C9">
        <w:t>Transaction Reply Report (</w:t>
      </w:r>
      <w:r w:rsidR="00864AA0" w:rsidRPr="007B1F78">
        <w:t>TRR</w:t>
      </w:r>
      <w:r w:rsidR="000F42C9">
        <w:t>)</w:t>
      </w:r>
      <w:r w:rsidR="00864AA0" w:rsidRPr="007B1F78">
        <w:t xml:space="preserve">. Plan sponsors need to review the reports for </w:t>
      </w:r>
      <w:r w:rsidR="00864AA0">
        <w:t xml:space="preserve">changes and effectuate timely. </w:t>
      </w:r>
      <w:r w:rsidR="00864AA0" w:rsidRPr="00AA13F6">
        <w:t>(</w:t>
      </w:r>
      <w:r w:rsidR="00864AA0" w:rsidRPr="004473D0">
        <w:rPr>
          <w:i/>
        </w:rPr>
        <w:t>Medicare Prescription Drug Benefit Manual Chapter</w:t>
      </w:r>
      <w:r w:rsidR="00864AA0" w:rsidRPr="00FB013E">
        <w:t xml:space="preserve"> 4 </w:t>
      </w:r>
      <w:r w:rsidR="00864AA0" w:rsidRPr="00FB013E">
        <w:rPr>
          <w:rFonts w:ascii="Calibri" w:eastAsia="Calibri" w:hAnsi="Calibri" w:cs="Calibri"/>
          <w:spacing w:val="1"/>
        </w:rPr>
        <w:t>Sections 40.2 and 60.3</w:t>
      </w:r>
      <w:r w:rsidR="009B7FF3">
        <w:rPr>
          <w:rFonts w:ascii="Calibri" w:eastAsia="Calibri" w:hAnsi="Calibri" w:cs="Calibri"/>
          <w:spacing w:val="1"/>
        </w:rPr>
        <w:t>,</w:t>
      </w:r>
      <w:r w:rsidR="00864AA0" w:rsidRPr="00AA13F6">
        <w:rPr>
          <w:rFonts w:ascii="Calibri" w:eastAsia="Calibri" w:hAnsi="Calibri" w:cs="Calibri"/>
          <w:spacing w:val="1"/>
        </w:rPr>
        <w:t xml:space="preserve"> and HMPS memo 07/14/2014</w:t>
      </w:r>
      <w:r w:rsidR="00864AA0" w:rsidRPr="00AA13F6">
        <w:rPr>
          <w:rFonts w:ascii="Calibri" w:eastAsia="Calibri" w:hAnsi="Calibri" w:cs="Calibri"/>
        </w:rPr>
        <w:t>)</w:t>
      </w:r>
    </w:p>
    <w:p w:rsidR="00614AAD" w:rsidRPr="00111816" w:rsidRDefault="009626F9" w:rsidP="005201FD">
      <w:pPr>
        <w:pStyle w:val="Heading1"/>
        <w:spacing w:before="120" w:after="120"/>
        <w:rPr>
          <w:rFonts w:ascii="Calibri" w:hAnsi="Calibri"/>
        </w:rPr>
      </w:pPr>
      <w:bookmarkStart w:id="18" w:name="_Toc431964674"/>
      <w:r w:rsidRPr="00111816">
        <w:rPr>
          <w:rFonts w:ascii="Calibri" w:hAnsi="Calibri"/>
        </w:rPr>
        <w:lastRenderedPageBreak/>
        <w:t xml:space="preserve">H. </w:t>
      </w:r>
      <w:r w:rsidR="00614AAD" w:rsidRPr="00111816">
        <w:rPr>
          <w:rFonts w:ascii="Calibri" w:hAnsi="Calibri"/>
        </w:rPr>
        <w:t>Benefits Administration &amp; Beneficiary Protections</w:t>
      </w:r>
      <w:bookmarkEnd w:id="18"/>
    </w:p>
    <w:p w:rsidR="007F143A" w:rsidRDefault="007F143A" w:rsidP="00CD7797">
      <w:pPr>
        <w:pStyle w:val="Outline1"/>
        <w:numPr>
          <w:ilvl w:val="0"/>
          <w:numId w:val="23"/>
        </w:numPr>
      </w:pPr>
      <w:r>
        <w:t>Part C Benefits and Beneficiary Protections</w:t>
      </w:r>
    </w:p>
    <w:p w:rsidR="001827F5" w:rsidRPr="00FB013E" w:rsidRDefault="007F143A" w:rsidP="009722A9">
      <w:pPr>
        <w:pStyle w:val="ReadinessBullett1"/>
        <w:rPr>
          <w:b/>
        </w:rPr>
      </w:pPr>
      <w:r>
        <w:t xml:space="preserve">Review and implement guidance and clarifications introduced in the </w:t>
      </w:r>
      <w:r w:rsidRPr="007F143A">
        <w:t xml:space="preserve">Chapter 4 of the </w:t>
      </w:r>
      <w:r w:rsidRPr="004473D0">
        <w:rPr>
          <w:i/>
        </w:rPr>
        <w:t>Medicare Managed Care Manual</w:t>
      </w:r>
      <w:r w:rsidRPr="007F143A">
        <w:t>, titled “Benefits and Beneficiary Protections</w:t>
      </w:r>
      <w:r w:rsidR="00160E14">
        <w:t>.</w:t>
      </w:r>
      <w:r w:rsidR="00C855C3">
        <w:t>”</w:t>
      </w:r>
      <w:r w:rsidR="00160E14">
        <w:t xml:space="preserve"> </w:t>
      </w:r>
      <w:r>
        <w:t xml:space="preserve">  (HPMS memo 11/7/2014)</w:t>
      </w:r>
    </w:p>
    <w:p w:rsidR="007A0C7A" w:rsidRPr="00FB013E" w:rsidRDefault="001827F5" w:rsidP="009722A9">
      <w:pPr>
        <w:pStyle w:val="ReadinessBullett1"/>
      </w:pPr>
      <w:r>
        <w:t>Ensure Medicare Advantage provider networks meet CMS network adequacy standards.  (</w:t>
      </w:r>
      <w:r w:rsidRPr="00FB013E">
        <w:t>CY2016 MA HSD Provider and Facility Specialties and Network Adequacy Criteria Guidance</w:t>
      </w:r>
      <w:r>
        <w:t>)</w:t>
      </w:r>
    </w:p>
    <w:p w:rsidR="00FB003F" w:rsidRPr="007B1F78" w:rsidRDefault="00614AAD" w:rsidP="00CD7797">
      <w:pPr>
        <w:pStyle w:val="ReadinessOutlineI"/>
      </w:pPr>
      <w:r w:rsidRPr="007B1F78">
        <w:t xml:space="preserve">Coverage Gap Discount </w:t>
      </w:r>
      <w:r w:rsidR="00586D30">
        <w:t>Program (</w:t>
      </w:r>
      <w:r w:rsidR="00B814EC">
        <w:t>CGDP</w:t>
      </w:r>
      <w:r w:rsidR="00586D30">
        <w:t>)</w:t>
      </w:r>
      <w:r w:rsidR="00586D30" w:rsidRPr="007B1F78">
        <w:t xml:space="preserve"> </w:t>
      </w:r>
      <w:r w:rsidR="00CA15B7" w:rsidRPr="007B1F78">
        <w:t>– Part D Sponsors</w:t>
      </w:r>
    </w:p>
    <w:p w:rsidR="00B0184F" w:rsidRDefault="00B0184F" w:rsidP="009722A9">
      <w:pPr>
        <w:pStyle w:val="ReadinessBullett1"/>
      </w:pPr>
      <w:r>
        <w:t xml:space="preserve">Sponsors should be prepared to repay manufacturers for negative invoice amounts caused by PDE adjustments. Such amounts are included in quarterly invoices and must be paid to manufacturers via the CGDP portal within 38 days of invoice receipt. (HPMS memos 01/15/2015, 03/25/15)  </w:t>
      </w:r>
    </w:p>
    <w:p w:rsidR="00CD7797" w:rsidRDefault="00B0184F" w:rsidP="009722A9">
      <w:pPr>
        <w:pStyle w:val="ReadinessBullett1"/>
      </w:pPr>
      <w:r>
        <w:t xml:space="preserve">Ensure your organization updates electronic funds transfer (EFT) information used for the Discount Program via the online form on the </w:t>
      </w:r>
      <w:r w:rsidR="00D01AB1">
        <w:t xml:space="preserve">Third Party </w:t>
      </w:r>
      <w:r w:rsidR="001B20F7">
        <w:t>Administrator’s</w:t>
      </w:r>
      <w:r w:rsidR="00600D4F">
        <w:t xml:space="preserve"> </w:t>
      </w:r>
      <w:r w:rsidR="00D01AB1">
        <w:t>Administrator (</w:t>
      </w:r>
      <w:r>
        <w:t>TPA</w:t>
      </w:r>
      <w:r w:rsidR="00D01AB1">
        <w:t>)</w:t>
      </w:r>
      <w:r>
        <w:t xml:space="preserve"> web site (</w:t>
      </w:r>
      <w:hyperlink r:id="rId20" w:history="1">
        <w:r w:rsidRPr="00061B87">
          <w:rPr>
            <w:rStyle w:val="Hyperlink"/>
          </w:rPr>
          <w:t>http://tpadministrator.com</w:t>
        </w:r>
      </w:hyperlink>
      <w:r>
        <w:t xml:space="preserve">).  These data are collected and maintained outside of the Automated Plan Payment System (APPS). </w:t>
      </w:r>
    </w:p>
    <w:p w:rsidR="00FB003F" w:rsidRPr="007B1F78" w:rsidRDefault="00614AAD" w:rsidP="00CD7797">
      <w:pPr>
        <w:pStyle w:val="ReadinessOutlineI"/>
      </w:pPr>
      <w:r w:rsidRPr="007B1F78">
        <w:t xml:space="preserve">Formulary </w:t>
      </w:r>
      <w:r w:rsidR="00CA15B7" w:rsidRPr="007B1F78">
        <w:t>– Part D Sponsors</w:t>
      </w:r>
    </w:p>
    <w:p w:rsidR="00B814EC" w:rsidRDefault="001E3D64" w:rsidP="00CD7797">
      <w:pPr>
        <w:pStyle w:val="ReadinessBullett1"/>
      </w:pPr>
      <w:r>
        <w:rPr>
          <w:b/>
        </w:rPr>
        <w:t>Monitor Rejected Claims.</w:t>
      </w:r>
      <w:r w:rsidR="00B814EC">
        <w:rPr>
          <w:b/>
        </w:rPr>
        <w:t xml:space="preserve">  </w:t>
      </w:r>
      <w:r w:rsidR="00B814EC">
        <w:t>Ensure your organization routinely monitors rejected claims so that any potential errors are identified and corrected timely. Review the August 27, 2014 HPMS memo entitled “Common Conditions, Improvement Strategies and Best Practices based on 2013 Program Audit Reviews</w:t>
      </w:r>
      <w:r w:rsidR="00C855C3">
        <w:t>,</w:t>
      </w:r>
      <w:r w:rsidR="00B814EC">
        <w:t>” which includes common findings, best practices, and CMS recommendations relating to formulary administration. (HPMS memo 08/27/2014)</w:t>
      </w:r>
    </w:p>
    <w:p w:rsidR="00204F31" w:rsidRDefault="00204F31" w:rsidP="00CD7797">
      <w:pPr>
        <w:pStyle w:val="ReadinessBullett1"/>
      </w:pPr>
      <w:r w:rsidRPr="00104F2F">
        <w:rPr>
          <w:b/>
        </w:rPr>
        <w:t>B</w:t>
      </w:r>
      <w:r w:rsidRPr="00682745">
        <w:rPr>
          <w:b/>
        </w:rPr>
        <w:t>iosimilars.</w:t>
      </w:r>
      <w:r w:rsidRPr="00D64E2B">
        <w:t xml:space="preserve">  </w:t>
      </w:r>
      <w:r w:rsidRPr="00104F2F">
        <w:t xml:space="preserve">Biosimilars may be added to plan formularies at any time as a formulary enhancement.  Formulary changes involving the addition of </w:t>
      </w:r>
      <w:r w:rsidRPr="00104F2F">
        <w:lastRenderedPageBreak/>
        <w:t xml:space="preserve">the biosimilar and removal of the reference </w:t>
      </w:r>
      <w:r w:rsidRPr="00682745">
        <w:t>biological product will generally be considered a non-maintenance change. These formulary</w:t>
      </w:r>
      <w:r>
        <w:t xml:space="preserve"> </w:t>
      </w:r>
      <w:r w:rsidRPr="00204F31">
        <w:t xml:space="preserve">changes will be evaluated, as are all non-maintenance changes, on a case-by-case basis, and allowed if the formulary continues to meet the formulary review standards with the corresponding addition of the biosimilar. Because biosimilars are not interchangeable with the reference biological product, CMS expects that Part D sponsors’ Pharmacy and Therapeutics (P&amp;T) committees will review newly approved biosimilars in accordance with section 30.1.5 of Chapter 6 of the </w:t>
      </w:r>
      <w:r w:rsidRPr="004473D0">
        <w:rPr>
          <w:i/>
        </w:rPr>
        <w:t>Medicare Prescription Drug Benefit Manual</w:t>
      </w:r>
      <w:r w:rsidRPr="00204F31">
        <w:t>.</w:t>
      </w:r>
      <w:r>
        <w:t xml:space="preserve">  (HPMS memo 3/30/2015)</w:t>
      </w:r>
    </w:p>
    <w:p w:rsidR="00606F20" w:rsidRPr="007B1F78" w:rsidRDefault="00600188" w:rsidP="00CD7797">
      <w:pPr>
        <w:pStyle w:val="ReadinessBullett1"/>
      </w:pPr>
      <w:r w:rsidRPr="0089519F">
        <w:rPr>
          <w:b/>
        </w:rPr>
        <w:t>Daily Cost Sharing Requirements</w:t>
      </w:r>
      <w:r w:rsidR="0089519F" w:rsidRPr="0089519F">
        <w:rPr>
          <w:b/>
        </w:rPr>
        <w:t>.</w:t>
      </w:r>
      <w:r>
        <w:rPr>
          <w:bCs/>
          <w:sz w:val="23"/>
          <w:szCs w:val="23"/>
        </w:rPr>
        <w:t xml:space="preserve"> </w:t>
      </w:r>
      <w:r w:rsidR="0089519F">
        <w:rPr>
          <w:b/>
          <w:bCs/>
          <w:sz w:val="23"/>
          <w:szCs w:val="23"/>
        </w:rPr>
        <w:t xml:space="preserve"> </w:t>
      </w:r>
      <w:r w:rsidR="0089519F">
        <w:t>A</w:t>
      </w:r>
      <w:r w:rsidR="0089519F" w:rsidRPr="00600188">
        <w:t xml:space="preserve">pply a daily cost sharing rate whenever certain prescriptions (depending on the drug dispensed) are dispensed by a network pharmacy for less than a </w:t>
      </w:r>
      <w:r w:rsidR="00B0184F">
        <w:t>month’s</w:t>
      </w:r>
      <w:r w:rsidR="00B0184F" w:rsidRPr="00600188">
        <w:t xml:space="preserve"> </w:t>
      </w:r>
      <w:r w:rsidR="0089519F">
        <w:t xml:space="preserve">supply in accordance with </w:t>
      </w:r>
      <w:r w:rsidR="0089519F" w:rsidRPr="00600188">
        <w:t xml:space="preserve">42 </w:t>
      </w:r>
      <w:r w:rsidR="0089519F">
        <w:t>C.F.R.</w:t>
      </w:r>
      <w:r w:rsidR="0089519F" w:rsidRPr="00600188">
        <w:t xml:space="preserve"> § 423.153(b)(4)(i).</w:t>
      </w:r>
      <w:r w:rsidR="0089519F">
        <w:t xml:space="preserve"> </w:t>
      </w:r>
      <w:r w:rsidR="0089519F" w:rsidRPr="00B814EC">
        <w:t>(</w:t>
      </w:r>
      <w:r w:rsidR="004D756D">
        <w:t>Calendar Year (CY) 2014</w:t>
      </w:r>
      <w:r w:rsidR="004D756D" w:rsidRPr="001F2032">
        <w:t xml:space="preserve"> Medicare Advantage Capitation Rates and Medicare Advantage and Part D Payment Policies and Final Call Letter</w:t>
      </w:r>
      <w:r w:rsidR="0089519F" w:rsidRPr="00B814EC">
        <w:t>)</w:t>
      </w:r>
    </w:p>
    <w:p w:rsidR="004D756D" w:rsidRDefault="0089519F" w:rsidP="00CD7797">
      <w:pPr>
        <w:pStyle w:val="ReadinessBullett1"/>
      </w:pPr>
      <w:r>
        <w:rPr>
          <w:b/>
        </w:rPr>
        <w:t xml:space="preserve">MAC Pricing. </w:t>
      </w:r>
      <w:r>
        <w:t>Effective January 1, 2016, drug pricing based on maximum allowable cost (MAC) is subject to the regulations governing the disclosure and updating of prescription drug pricing standards at 42 CFR §§423.501; 423.505(b)(21)</w:t>
      </w:r>
      <w:r w:rsidR="00B0184F">
        <w:t>.</w:t>
      </w:r>
    </w:p>
    <w:p w:rsidR="004D756D" w:rsidRDefault="004D756D" w:rsidP="004D756D">
      <w:pPr>
        <w:pStyle w:val="ReadinessBullett1"/>
        <w:numPr>
          <w:ilvl w:val="0"/>
          <w:numId w:val="0"/>
        </w:numPr>
        <w:ind w:left="720"/>
      </w:pPr>
      <w:r w:rsidRPr="004D756D">
        <w:t>These regulations require Part D sponsors to update MAC drug prices at least every seven days and to disclose all individual MAC drug prices to be updated to the applicable pharmacies in advance of their use. In addition, the disclosure must be made in a manner that enables the pharmacies to validate prices.</w:t>
      </w:r>
      <w:r>
        <w:t xml:space="preserve">  </w:t>
      </w:r>
    </w:p>
    <w:p w:rsidR="0089519F" w:rsidRPr="004D756D" w:rsidRDefault="0089519F" w:rsidP="004D756D">
      <w:pPr>
        <w:pStyle w:val="Default"/>
        <w:ind w:left="720"/>
        <w:rPr>
          <w:rFonts w:asciiTheme="minorHAnsi" w:hAnsiTheme="minorHAnsi" w:cstheme="minorHAnsi"/>
          <w:color w:val="auto"/>
        </w:rPr>
      </w:pPr>
      <w:r w:rsidRPr="004D756D">
        <w:rPr>
          <w:rFonts w:asciiTheme="minorHAnsi" w:hAnsiTheme="minorHAnsi" w:cstheme="minorHAnsi"/>
          <w:color w:val="auto"/>
        </w:rPr>
        <w:t>(</w:t>
      </w:r>
      <w:r w:rsidR="004D756D" w:rsidRPr="004D756D">
        <w:rPr>
          <w:rFonts w:asciiTheme="minorHAnsi" w:hAnsiTheme="minorHAnsi" w:cstheme="minorHAnsi"/>
          <w:color w:val="auto"/>
        </w:rPr>
        <w:t>CY 2016 Medicare Advantage Capitation Rates and Medicare Advantage and Part D Payment Policies and Final Call Letter</w:t>
      </w:r>
      <w:r w:rsidRPr="004D756D">
        <w:rPr>
          <w:rFonts w:asciiTheme="minorHAnsi" w:hAnsiTheme="minorHAnsi" w:cstheme="minorHAnsi"/>
          <w:color w:val="auto"/>
        </w:rPr>
        <w:t>)</w:t>
      </w:r>
    </w:p>
    <w:p w:rsidR="00B95860" w:rsidRPr="007B1F78" w:rsidRDefault="00B95860" w:rsidP="00CD7797">
      <w:pPr>
        <w:pStyle w:val="ReadinessBullett1"/>
      </w:pPr>
      <w:r>
        <w:rPr>
          <w:b/>
        </w:rPr>
        <w:t>Pharma</w:t>
      </w:r>
      <w:r w:rsidR="00DA6544">
        <w:rPr>
          <w:b/>
        </w:rPr>
        <w:t>cy &amp; Thera</w:t>
      </w:r>
      <w:r>
        <w:rPr>
          <w:b/>
        </w:rPr>
        <w:t>p</w:t>
      </w:r>
      <w:r w:rsidR="00DA6544">
        <w:rPr>
          <w:b/>
        </w:rPr>
        <w:t>e</w:t>
      </w:r>
      <w:r>
        <w:rPr>
          <w:b/>
        </w:rPr>
        <w:t>utics (P&amp;T) Committee</w:t>
      </w:r>
      <w:r>
        <w:t xml:space="preserve">.  A P&amp;T committee must clearly articulate and document processes to determine that the requirements under paragraphs 42 C.F.R. § 423.120(b)(1)(i) through (iii) have been met, including the determination by an objective party of whether </w:t>
      </w:r>
      <w:r>
        <w:lastRenderedPageBreak/>
        <w:t xml:space="preserve">the disclosed financial interests are conflicts of interest and the management of any recusals due to any conflicts. </w:t>
      </w:r>
    </w:p>
    <w:p w:rsidR="00321222" w:rsidRDefault="00321222" w:rsidP="00CD7797">
      <w:pPr>
        <w:pStyle w:val="ReadinessOutlineI"/>
      </w:pPr>
      <w:r>
        <w:t>Auto-Ship Refill Programs in Part D</w:t>
      </w:r>
    </w:p>
    <w:p w:rsidR="002D2764" w:rsidRDefault="004C05D4" w:rsidP="00CD7797">
      <w:pPr>
        <w:pStyle w:val="ReadinessBullett1"/>
      </w:pPr>
      <w:r w:rsidRPr="00104F2F">
        <w:t>Ensure your organization follows the mail-order auto ship guidance</w:t>
      </w:r>
      <w:r w:rsidR="00FE7A78">
        <w:t>.</w:t>
      </w:r>
    </w:p>
    <w:p w:rsidR="001A28A0" w:rsidRDefault="001A28A0" w:rsidP="004473D0">
      <w:pPr>
        <w:pStyle w:val="ReadinessBullett2"/>
      </w:pPr>
      <w:r>
        <w:t xml:space="preserve">If a beneficiary has experience using mail-order or other automatic delivery programs under the plan, </w:t>
      </w:r>
      <w:r w:rsidRPr="00CD7797">
        <w:t>sponsors</w:t>
      </w:r>
      <w:r>
        <w:t xml:space="preserve"> do not need to establish an additional opt-in procedure to acquire explicit consent to fill initial scripts.</w:t>
      </w:r>
    </w:p>
    <w:p w:rsidR="004C05D4" w:rsidRDefault="004C05D4" w:rsidP="004473D0">
      <w:pPr>
        <w:pStyle w:val="ReadinessBullett2"/>
      </w:pPr>
      <w:r>
        <w:t>If a beneficiary has had no previous mail-order, home delivery</w:t>
      </w:r>
      <w:r w:rsidR="00E2771A">
        <w:t>,</w:t>
      </w:r>
      <w:r>
        <w:t xml:space="preserve"> or other automatic shipment experience under the plan, then a new prescription for that beneficiary is not eligible for the exception, and your organization should receive consent from the beneficiary before that prescription is filled.</w:t>
      </w:r>
    </w:p>
    <w:p w:rsidR="002C39F8" w:rsidRDefault="00B0184F" w:rsidP="00CD7797">
      <w:pPr>
        <w:pStyle w:val="ReadinessBullett1"/>
      </w:pPr>
      <w:r w:rsidRPr="00B0184F">
        <w:t xml:space="preserve">Such confirmation is unnecessary when the beneficiary personally initiates the prescription request.  </w:t>
      </w:r>
    </w:p>
    <w:p w:rsidR="007418EB" w:rsidRPr="006A1DD5" w:rsidRDefault="002C39F8" w:rsidP="00CD7797">
      <w:pPr>
        <w:pStyle w:val="ReadinessBullett1"/>
      </w:pPr>
      <w:r w:rsidRPr="007418EB">
        <w:t>Two exceptions authorizing automatic deliveries without prior beneficiary consent were offered to plan sponsors agreeing to meet the conditions stated</w:t>
      </w:r>
      <w:r>
        <w:t xml:space="preserve"> </w:t>
      </w:r>
      <w:r w:rsidR="007418EB">
        <w:t xml:space="preserve">Exceptions to the Auto-Ship Policy </w:t>
      </w:r>
    </w:p>
    <w:p w:rsidR="00C36576" w:rsidRDefault="00C36576" w:rsidP="004473D0">
      <w:pPr>
        <w:pStyle w:val="ReadinessBullett2"/>
      </w:pPr>
      <w:r w:rsidRPr="009B6730">
        <w:t xml:space="preserve">Part D sponsors interested in offering automatic deliveries of </w:t>
      </w:r>
      <w:r w:rsidRPr="009B6730">
        <w:rPr>
          <w:u w:val="single"/>
        </w:rPr>
        <w:t>new</w:t>
      </w:r>
      <w:r w:rsidRPr="009B6730">
        <w:t xml:space="preserve"> prescriptions (as described in the 12/12/2013 memo) will no longer need to request an exception to the auto ship policy by emailing CMS. Instead, the exception will remain available to all Part D plans, without the need to specifically submit a request. Plans are permitted to start or continue automatic shipments, provide</w:t>
      </w:r>
      <w:r w:rsidR="00255D16">
        <w:t>d</w:t>
      </w:r>
      <w:r w:rsidRPr="009B6730">
        <w:t xml:space="preserve"> they meet the conditions listed.</w:t>
      </w:r>
    </w:p>
    <w:p w:rsidR="00C36576" w:rsidRPr="009B6730" w:rsidRDefault="00C36576" w:rsidP="004473D0">
      <w:pPr>
        <w:pStyle w:val="ReadinessBullett2"/>
      </w:pPr>
      <w:r w:rsidRPr="009B6730">
        <w:t xml:space="preserve">Employer Group Waiver Plan (EGWP) sponsors interested in offering automatic deliveries of </w:t>
      </w:r>
      <w:r w:rsidRPr="009B6730">
        <w:rPr>
          <w:u w:val="single"/>
        </w:rPr>
        <w:t>refill</w:t>
      </w:r>
      <w:r w:rsidRPr="009B6730">
        <w:t xml:space="preserve"> prescriptions (as described in the 10/28/2013 memo) will no longer need to separately request an exception to the Auto-Ship policy by emailing CMS.</w:t>
      </w:r>
    </w:p>
    <w:p w:rsidR="0077309A" w:rsidRDefault="0077309A" w:rsidP="001A28A0">
      <w:pPr>
        <w:pStyle w:val="OutlineParagraph"/>
      </w:pPr>
      <w:r w:rsidRPr="00BE1A2B">
        <w:lastRenderedPageBreak/>
        <w:t>(</w:t>
      </w:r>
      <w:r w:rsidR="007418EB">
        <w:t>HPMS memo</w:t>
      </w:r>
      <w:r w:rsidR="00FE7A78">
        <w:t>s</w:t>
      </w:r>
      <w:r w:rsidR="007418EB">
        <w:t xml:space="preserve"> dated </w:t>
      </w:r>
      <w:r w:rsidR="00C36576">
        <w:t xml:space="preserve">10/28/2013, 12/12/2013, </w:t>
      </w:r>
      <w:r w:rsidR="00FE7A78">
        <w:t xml:space="preserve">03/21/2014, </w:t>
      </w:r>
      <w:r w:rsidR="007418EB">
        <w:t xml:space="preserve">09/22/2014 and </w:t>
      </w:r>
      <w:r w:rsidRPr="00FB013E">
        <w:t xml:space="preserve">Calendar Year 2014 </w:t>
      </w:r>
      <w:r w:rsidR="00C36576">
        <w:t xml:space="preserve">&amp; 2016 </w:t>
      </w:r>
      <w:r w:rsidR="004D756D" w:rsidRPr="001F2032">
        <w:t>Medicare Advantage Capitation Rates and Medicare Advantage and Part D Payment Policies and Fin</w:t>
      </w:r>
      <w:r w:rsidR="004D756D">
        <w:t>al Call Lette</w:t>
      </w:r>
      <w:r w:rsidRPr="00FB013E">
        <w:t>r</w:t>
      </w:r>
      <w:r w:rsidR="00C36576">
        <w:t>s</w:t>
      </w:r>
      <w:r w:rsidRPr="00FE7A78">
        <w:t>)</w:t>
      </w:r>
      <w:r w:rsidR="00FE7A78" w:rsidRPr="00FE7A78">
        <w:t xml:space="preserve"> </w:t>
      </w:r>
    </w:p>
    <w:p w:rsidR="00FB003F" w:rsidRPr="007B1F78" w:rsidRDefault="00614AAD" w:rsidP="00CD7797">
      <w:pPr>
        <w:pStyle w:val="ReadinessOutlineI"/>
      </w:pPr>
      <w:r w:rsidRPr="007B1F78">
        <w:t>Quality Improvement</w:t>
      </w:r>
      <w:r w:rsidR="0014031E" w:rsidRPr="007B1F78">
        <w:t xml:space="preserve"> (QI)</w:t>
      </w:r>
      <w:r w:rsidRPr="007B1F78">
        <w:t xml:space="preserve"> Programs </w:t>
      </w:r>
      <w:r w:rsidR="00903812" w:rsidRPr="007B1F78">
        <w:t>– Medicare Advantage Organizations</w:t>
      </w:r>
      <w:r w:rsidR="005A1794">
        <w:t xml:space="preserve"> (excludes non-network PPFS, Cost plans)</w:t>
      </w:r>
      <w:r w:rsidR="00903812" w:rsidRPr="007B1F78">
        <w:t xml:space="preserve">  </w:t>
      </w:r>
    </w:p>
    <w:p w:rsidR="005A1794" w:rsidRDefault="005A1794" w:rsidP="00CD7797">
      <w:pPr>
        <w:pStyle w:val="ReadinessBullett1"/>
      </w:pPr>
      <w:r w:rsidRPr="007B1F78">
        <w:t>The QI program must meet the applicable requirements for the services that it furnishes to its MA enrollees</w:t>
      </w:r>
      <w:r>
        <w:t xml:space="preserve">, as specified at </w:t>
      </w:r>
      <w:r w:rsidRPr="007B1F78">
        <w:t xml:space="preserve">42 </w:t>
      </w:r>
      <w:r w:rsidR="00190FAB">
        <w:t>C.F.R.</w:t>
      </w:r>
      <w:r w:rsidRPr="007B1F78">
        <w:t xml:space="preserve"> §422.152</w:t>
      </w:r>
      <w:r>
        <w:t xml:space="preserve"> and detailed in </w:t>
      </w:r>
      <w:r w:rsidRPr="00B83181">
        <w:t>Chapter 5</w:t>
      </w:r>
      <w:r>
        <w:t xml:space="preserve"> of the </w:t>
      </w:r>
      <w:r w:rsidRPr="00B83181">
        <w:t>Medicare Managed Care Manual</w:t>
      </w:r>
      <w:r w:rsidRPr="007B1F78">
        <w:t xml:space="preserve">. </w:t>
      </w:r>
    </w:p>
    <w:p w:rsidR="00977427" w:rsidRDefault="00977427" w:rsidP="00CD7797">
      <w:pPr>
        <w:pStyle w:val="ReadinessBullett1"/>
      </w:pPr>
      <w:r>
        <w:t>T</w:t>
      </w:r>
      <w:r w:rsidRPr="00977427">
        <w:t>he new mandatory topic for quality improvement projects (QIP</w:t>
      </w:r>
      <w:r>
        <w:t>s) beginning contract year CY</w:t>
      </w:r>
      <w:r w:rsidRPr="00977427">
        <w:t>2016 is Promote Effective Management of Chronic Disease.</w:t>
      </w:r>
      <w:r>
        <w:t xml:space="preserve"> (HPMS memo 07/01/2015)</w:t>
      </w:r>
    </w:p>
    <w:p w:rsidR="00850731" w:rsidRDefault="00850731" w:rsidP="00CD7797">
      <w:pPr>
        <w:pStyle w:val="ReadinessBullett1"/>
      </w:pPr>
      <w:r w:rsidRPr="006A1DD5">
        <w:t>The QIP Annual Update is due during the CMS-determined submission window in the fall of the first year of implementation following approval of the QIP Plan Section, and annually thereafter, until project completion. The Annual Update should include the results or findings to date based on the intervention(s); any barriers encountered during the update period; risk mitigation activities implemented to address barriers encountered; the impact on the established goal or benchmark</w:t>
      </w:r>
      <w:r w:rsidR="00AF7C41">
        <w:t>;</w:t>
      </w:r>
      <w:r w:rsidRPr="006A1DD5">
        <w:t xml:space="preserve"> and next steps for the project. (</w:t>
      </w:r>
      <w:r w:rsidRPr="004473D0">
        <w:rPr>
          <w:i/>
        </w:rPr>
        <w:t>Medicare Managed Care Manual</w:t>
      </w:r>
      <w:r w:rsidRPr="006A1DD5">
        <w:t>, Chapter 5)</w:t>
      </w:r>
    </w:p>
    <w:p w:rsidR="00A17ACE" w:rsidRDefault="006D5D77" w:rsidP="00CD7797">
      <w:pPr>
        <w:pStyle w:val="ReadinessOutlineI"/>
      </w:pPr>
      <w:r>
        <w:t>Improving Drug Utilization Controls in Part D</w:t>
      </w:r>
    </w:p>
    <w:p w:rsidR="004D756D" w:rsidRDefault="006A1DD5" w:rsidP="00CD7797">
      <w:pPr>
        <w:pStyle w:val="ReadinessBullett1"/>
      </w:pPr>
      <w:r>
        <w:t>Ensure your organization i</w:t>
      </w:r>
      <w:r w:rsidR="00AF5706" w:rsidRPr="00851321">
        <w:t>mplement</w:t>
      </w:r>
      <w:r>
        <w:t>s</w:t>
      </w:r>
      <w:r w:rsidR="00AF5706" w:rsidRPr="00851321">
        <w:t xml:space="preserve"> processes and procedures to comply with </w:t>
      </w:r>
      <w:r w:rsidR="00851321">
        <w:t xml:space="preserve">the </w:t>
      </w:r>
      <w:r w:rsidR="00AF5706" w:rsidRPr="00851321">
        <w:t xml:space="preserve">drug utilization management (DUM) requirements of 42 C.F.R §423.153 </w:t>
      </w:r>
      <w:r w:rsidR="00AF5706" w:rsidRPr="00851321">
        <w:rPr>
          <w:i/>
        </w:rPr>
        <w:t>et seq</w:t>
      </w:r>
      <w:r w:rsidR="00AF5706" w:rsidRPr="00851321">
        <w:t xml:space="preserve">. to prevent overutilization of prescribed covered Part D drugs. </w:t>
      </w:r>
    </w:p>
    <w:p w:rsidR="00AF5706" w:rsidRPr="00851321" w:rsidRDefault="004D756D" w:rsidP="004D756D">
      <w:pPr>
        <w:pStyle w:val="ReadinessBullett1"/>
        <w:numPr>
          <w:ilvl w:val="0"/>
          <w:numId w:val="0"/>
        </w:numPr>
        <w:ind w:left="720"/>
      </w:pPr>
      <w:r>
        <w:t>(CY 2013</w:t>
      </w:r>
      <w:r w:rsidRPr="001F2032">
        <w:t xml:space="preserve"> Medicare Advantage Capitation Rates and Medicare Advantage and Part D Payment Policies and Final Call Letter</w:t>
      </w:r>
      <w:r>
        <w:t xml:space="preserve"> </w:t>
      </w:r>
      <w:r w:rsidR="00AF5706" w:rsidRPr="00FE7A78">
        <w:t xml:space="preserve">and </w:t>
      </w:r>
      <w:hyperlink r:id="rId21" w:history="1">
        <w:r w:rsidR="00851321" w:rsidRPr="00FE7A78">
          <w:t>http://www.cms.gov/Medicare/Prescription-Drug-Coverage/PrescriptionDrugCovContra/RxUtilization.html</w:t>
        </w:r>
      </w:hyperlink>
      <w:r w:rsidR="00851321" w:rsidRPr="00FE7A78">
        <w:t>)</w:t>
      </w:r>
    </w:p>
    <w:p w:rsidR="00AF5706" w:rsidRPr="00851321" w:rsidRDefault="00AF5706" w:rsidP="00CD7797">
      <w:pPr>
        <w:pStyle w:val="ReadinessBullett1"/>
      </w:pPr>
      <w:r w:rsidRPr="00851321">
        <w:t xml:space="preserve">Ensure processes are in place to submit beneficiary-level POS drug edit information for Identified Drug Overutilizers of opioids to MARx. </w:t>
      </w:r>
      <w:r w:rsidRPr="00FE7A78">
        <w:t>(</w:t>
      </w:r>
      <w:r w:rsidRPr="00FB013E">
        <w:t xml:space="preserve">Plan Communications Users Guide, Section 11, Reporting Identified Drug </w:t>
      </w:r>
      <w:r w:rsidRPr="00FB013E">
        <w:lastRenderedPageBreak/>
        <w:t>Overutilizers</w:t>
      </w:r>
      <w:r w:rsidR="00266C6B">
        <w:t xml:space="preserve">, available on the CMS website at: </w:t>
      </w:r>
      <w:hyperlink r:id="rId22" w:history="1">
        <w:r w:rsidR="00E12D0A" w:rsidRPr="00E12D0A">
          <w:rPr>
            <w:rStyle w:val="Hyperlink"/>
          </w:rPr>
          <w:t>https://www.cms.gov/Research-Statistics-Data-and-Systems/CMS-Information-Technology/mapdhelpdesk/Plan_Communications_User_Guide.html</w:t>
        </w:r>
      </w:hyperlink>
      <w:r w:rsidR="00E12D0A" w:rsidRPr="00E12D0A">
        <w:rPr>
          <w:rStyle w:val="Hyperlink"/>
        </w:rPr>
        <w:t>.</w:t>
      </w:r>
      <w:r w:rsidRPr="00FE7A78">
        <w:t>)</w:t>
      </w:r>
    </w:p>
    <w:p w:rsidR="00614AAD" w:rsidRPr="00111816" w:rsidRDefault="009626F9" w:rsidP="005201FD">
      <w:pPr>
        <w:pStyle w:val="Heading1"/>
        <w:spacing w:before="120" w:after="120"/>
        <w:rPr>
          <w:rFonts w:ascii="Calibri" w:hAnsi="Calibri"/>
        </w:rPr>
      </w:pPr>
      <w:bookmarkStart w:id="19" w:name="_Best_Available_Evidence"/>
      <w:bookmarkStart w:id="20" w:name="_Toc431964675"/>
      <w:bookmarkEnd w:id="19"/>
      <w:r w:rsidRPr="00111816">
        <w:rPr>
          <w:rFonts w:ascii="Calibri" w:hAnsi="Calibri"/>
        </w:rPr>
        <w:t xml:space="preserve">I. </w:t>
      </w:r>
      <w:r w:rsidR="00614AAD" w:rsidRPr="00111816">
        <w:rPr>
          <w:rFonts w:ascii="Calibri" w:hAnsi="Calibri"/>
        </w:rPr>
        <w:t>Best Available Evidence (BAE) and Low Income Subsidy (LIS)</w:t>
      </w:r>
      <w:bookmarkEnd w:id="20"/>
      <w:r w:rsidR="00895D47" w:rsidRPr="00111816">
        <w:rPr>
          <w:rFonts w:ascii="Calibri" w:hAnsi="Calibri"/>
        </w:rPr>
        <w:t xml:space="preserve"> </w:t>
      </w:r>
    </w:p>
    <w:p w:rsidR="00FB003F" w:rsidRDefault="00614AAD" w:rsidP="00CD7797">
      <w:pPr>
        <w:pStyle w:val="Outline1"/>
        <w:numPr>
          <w:ilvl w:val="0"/>
          <w:numId w:val="24"/>
        </w:numPr>
      </w:pPr>
      <w:r w:rsidRPr="001A28A0">
        <w:t>Low Income Subsidy Benefit Administration</w:t>
      </w:r>
      <w:r w:rsidR="00D73E4C" w:rsidRPr="001A28A0">
        <w:t xml:space="preserve"> – Part D Sponsors, excluding plan sponsors </w:t>
      </w:r>
      <w:r w:rsidR="00A2421A" w:rsidRPr="001A28A0">
        <w:t xml:space="preserve">only </w:t>
      </w:r>
      <w:r w:rsidR="00D73E4C" w:rsidRPr="001A28A0">
        <w:t xml:space="preserve">serving U.S. Territories </w:t>
      </w:r>
    </w:p>
    <w:p w:rsidR="00FB003F" w:rsidRPr="007B1F78" w:rsidRDefault="003413B3" w:rsidP="00CD7797">
      <w:pPr>
        <w:pStyle w:val="ReadinessBullett1"/>
      </w:pPr>
      <w:r w:rsidRPr="007B1F78">
        <w:t xml:space="preserve">Ensure </w:t>
      </w:r>
      <w:r w:rsidR="002B0E19" w:rsidRPr="007B1F78">
        <w:t>your organization</w:t>
      </w:r>
      <w:r w:rsidRPr="007B1F78">
        <w:t xml:space="preserve"> applies </w:t>
      </w:r>
      <w:r w:rsidR="002B0E19" w:rsidRPr="007B1F78">
        <w:t xml:space="preserve">the </w:t>
      </w:r>
      <w:r w:rsidRPr="007B1F78">
        <w:t xml:space="preserve">correct CMS LIS levels to enrollees by </w:t>
      </w:r>
      <w:r w:rsidR="009E41A3">
        <w:t xml:space="preserve">immediately applying any updates received via </w:t>
      </w:r>
      <w:r w:rsidRPr="007B1F78">
        <w:t xml:space="preserve">the </w:t>
      </w:r>
      <w:r w:rsidR="00AC0B0F" w:rsidRPr="007B1F78">
        <w:t>daily</w:t>
      </w:r>
      <w:r w:rsidRPr="007B1F78">
        <w:t xml:space="preserve"> TRR to establish the correct premium, cost sharing, and deductible levels with the correct effective dates for prior, current, and prospective enrollees. </w:t>
      </w:r>
      <w:r w:rsidRPr="006273DA">
        <w:t>(</w:t>
      </w:r>
      <w:r w:rsidR="00062EA6" w:rsidRPr="004473D0">
        <w:rPr>
          <w:i/>
        </w:rPr>
        <w:t>Medicare Prescription Drug Benefit Ma</w:t>
      </w:r>
      <w:r w:rsidR="00062EA6" w:rsidRPr="00FB013E">
        <w:t>nual Chapter 13,</w:t>
      </w:r>
      <w:r w:rsidR="008D4AA9" w:rsidRPr="00FB013E">
        <w:t xml:space="preserve"> Section</w:t>
      </w:r>
      <w:r w:rsidR="00062EA6" w:rsidRPr="00FB013E">
        <w:t xml:space="preserve"> </w:t>
      </w:r>
      <w:r w:rsidR="00D36FB9" w:rsidRPr="00FB013E">
        <w:t>70.1</w:t>
      </w:r>
      <w:r w:rsidRPr="006273DA">
        <w:t>)</w:t>
      </w:r>
    </w:p>
    <w:p w:rsidR="00FB003F" w:rsidRDefault="003413B3" w:rsidP="00CD7797">
      <w:pPr>
        <w:pStyle w:val="ReadinessBullett1"/>
      </w:pPr>
      <w:r w:rsidRPr="007B1F78">
        <w:t>Reimburse LIS eligible individuals, or others who have paid or are holding receivables on behalf of the beneficiary, any excess premiums or cost-sharing paid by the individual, including refunding of cost-sharing amounts that were paid during the perio</w:t>
      </w:r>
      <w:r w:rsidR="00E61282">
        <w:t xml:space="preserve">d of LIS retroactive coverage. </w:t>
      </w:r>
      <w:r w:rsidRPr="007B1F78">
        <w:t xml:space="preserve">Whenever a sponsor receives information that necessitates a retroactive claims adjustment, the sponsor must process the adjustment and issue refunds or recovery notices within 45 days of the sponsor’s receipt of complete information regarding claims adjustment. </w:t>
      </w:r>
      <w:r w:rsidRPr="006273DA">
        <w:t>(</w:t>
      </w:r>
      <w:r w:rsidR="008D4AA9" w:rsidRPr="004473D0">
        <w:rPr>
          <w:i/>
        </w:rPr>
        <w:t>Medicare Prescription Drug Benefit Manual</w:t>
      </w:r>
      <w:r w:rsidR="008D4AA9" w:rsidRPr="00FB013E">
        <w:t xml:space="preserve"> Chapter 13, Section </w:t>
      </w:r>
      <w:r w:rsidRPr="00FB013E">
        <w:t>70.3.1</w:t>
      </w:r>
      <w:r w:rsidRPr="006273DA">
        <w:t xml:space="preserve"> </w:t>
      </w:r>
      <w:r w:rsidR="008D4AA9" w:rsidRPr="006C1BF2">
        <w:t>and</w:t>
      </w:r>
      <w:r w:rsidRPr="006229C0">
        <w:t xml:space="preserve"> 42 C.F.R. §</w:t>
      </w:r>
      <w:r w:rsidR="000B6E99" w:rsidRPr="006229C0">
        <w:t xml:space="preserve">§ 423.466, </w:t>
      </w:r>
      <w:r w:rsidRPr="006229C0">
        <w:t>423.800)</w:t>
      </w:r>
    </w:p>
    <w:p w:rsidR="001A28A0" w:rsidRDefault="001A28A0" w:rsidP="00CD7797">
      <w:pPr>
        <w:pStyle w:val="ReadinessOutlineI"/>
      </w:pPr>
      <w:r w:rsidRPr="001A28A0">
        <w:t>Loss of Low Income Subsidy Data File – Part D Sponsors, excluding plan sponsors only serving U.S. Territorie</w:t>
      </w:r>
      <w:r w:rsidR="004C2F0F">
        <w:t>s</w:t>
      </w:r>
    </w:p>
    <w:p w:rsidR="00C74758" w:rsidRPr="00824FF1" w:rsidRDefault="003413B3" w:rsidP="00CD7797">
      <w:pPr>
        <w:pStyle w:val="ReadinessBullett1"/>
      </w:pPr>
      <w:r w:rsidRPr="00C74758">
        <w:t>In response to the Loss of Subsidy Data File (released in December of each year), set</w:t>
      </w:r>
      <w:r w:rsidR="002B0E19" w:rsidRPr="00C74758">
        <w:t xml:space="preserve"> your</w:t>
      </w:r>
      <w:r w:rsidRPr="00C74758">
        <w:t xml:space="preserve"> organization’s systems to charge the correct premium, deductible, and copayments effective January 1, </w:t>
      </w:r>
      <w:r w:rsidR="00984B1A" w:rsidRPr="00C74758">
        <w:t>201</w:t>
      </w:r>
      <w:r w:rsidR="00984B1A">
        <w:t>6</w:t>
      </w:r>
      <w:r w:rsidR="00984B1A" w:rsidRPr="002A08E1">
        <w:t xml:space="preserve"> </w:t>
      </w:r>
      <w:r w:rsidRPr="002A08E1">
        <w:t>as well as send the appropriate notification to affected beneficiaries. The only exception to this requirement is for those beneficiaries whom the organi</w:t>
      </w:r>
      <w:r w:rsidRPr="002A08E1">
        <w:lastRenderedPageBreak/>
        <w:t xml:space="preserve">zation confirms are awaiting a </w:t>
      </w:r>
      <w:r w:rsidR="000F42C9">
        <w:t xml:space="preserve">Social Security </w:t>
      </w:r>
      <w:r w:rsidR="005734DA">
        <w:t>Administration</w:t>
      </w:r>
      <w:r w:rsidR="000F42C9">
        <w:t xml:space="preserve"> </w:t>
      </w:r>
      <w:r w:rsidRPr="002A08E1">
        <w:t xml:space="preserve">determination on an LIS application and have been granted a grace period by the organization, if applicable. In these situations, organizations should wait until they receive the result of the SSA determination to update their systems.  </w:t>
      </w:r>
    </w:p>
    <w:p w:rsidR="00C74758" w:rsidRPr="007B1F78" w:rsidRDefault="00C74758" w:rsidP="00CD7797">
      <w:pPr>
        <w:pStyle w:val="ReadinessBullett1"/>
      </w:pPr>
      <w:r w:rsidRPr="007B1F78">
        <w:t xml:space="preserve">Make reasonable attempts to notify affected </w:t>
      </w:r>
      <w:r w:rsidRPr="00C74758">
        <w:t>members</w:t>
      </w:r>
      <w:r w:rsidRPr="007B1F78">
        <w:t xml:space="preserve"> to advise them of their retroactive liability for higher premiums and cost sharing when LIS </w:t>
      </w:r>
      <w:r>
        <w:t xml:space="preserve">status or eligibility </w:t>
      </w:r>
      <w:r w:rsidRPr="007B1F78">
        <w:t xml:space="preserve">is removed. </w:t>
      </w:r>
      <w:r w:rsidRPr="006273DA">
        <w:t>(</w:t>
      </w:r>
      <w:r w:rsidR="00D36FB9" w:rsidRPr="004473D0">
        <w:rPr>
          <w:i/>
        </w:rPr>
        <w:t>Medicare Prescription Drug Benefit Manual Chapter</w:t>
      </w:r>
      <w:r w:rsidR="00D36FB9" w:rsidRPr="00FB013E">
        <w:t xml:space="preserve"> 13, 70.3.1</w:t>
      </w:r>
      <w:r w:rsidR="00D36FB9" w:rsidRPr="006273DA">
        <w:t>)</w:t>
      </w:r>
    </w:p>
    <w:p w:rsidR="00FB003F" w:rsidRDefault="003413B3" w:rsidP="001A28A0">
      <w:pPr>
        <w:pStyle w:val="OutlineParagraph"/>
      </w:pPr>
      <w:r w:rsidRPr="007B1F78">
        <w:t>(HPMS memo</w:t>
      </w:r>
      <w:r w:rsidR="008164C9">
        <w:t>s</w:t>
      </w:r>
      <w:r w:rsidRPr="007B1F78">
        <w:t xml:space="preserve"> 11/30/2009</w:t>
      </w:r>
      <w:r w:rsidR="00984B1A">
        <w:t>,</w:t>
      </w:r>
      <w:r w:rsidR="008164C9">
        <w:t xml:space="preserve"> </w:t>
      </w:r>
      <w:r w:rsidR="00724521">
        <w:t>08/12/2014</w:t>
      </w:r>
      <w:r w:rsidR="00984B1A">
        <w:t>, and 09/10/2015</w:t>
      </w:r>
      <w:r w:rsidRPr="007B1F78">
        <w:t>)</w:t>
      </w:r>
    </w:p>
    <w:p w:rsidR="004C2F0F" w:rsidRPr="007B1F78" w:rsidRDefault="004C2F0F" w:rsidP="00CD7797">
      <w:pPr>
        <w:pStyle w:val="ReadinessOutlineI"/>
      </w:pPr>
      <w:r w:rsidRPr="007B1F78">
        <w:t xml:space="preserve">Low Income Subsidy Deeming – Part D Sponsors, excluding </w:t>
      </w:r>
      <w:r w:rsidRPr="00635D9F">
        <w:t>only</w:t>
      </w:r>
      <w:r w:rsidRPr="007B1F78">
        <w:t xml:space="preserve"> serving U.S. Territorie</w:t>
      </w:r>
      <w:r>
        <w:t>s</w:t>
      </w:r>
    </w:p>
    <w:p w:rsidR="00FB003F" w:rsidRPr="007B1F78" w:rsidRDefault="00394892" w:rsidP="00CD7797">
      <w:pPr>
        <w:pStyle w:val="ReadinessBullett1"/>
      </w:pPr>
      <w:r w:rsidRPr="007B1F78">
        <w:t xml:space="preserve">Ensure your organization follows the CMS guidance for re-determination of Part D </w:t>
      </w:r>
      <w:r w:rsidR="00DF74A5" w:rsidRPr="007B1F78">
        <w:t>LIS</w:t>
      </w:r>
      <w:r w:rsidRPr="007B1F78">
        <w:t xml:space="preserve"> eligibility for 201</w:t>
      </w:r>
      <w:r w:rsidR="00233477">
        <w:t>5</w:t>
      </w:r>
      <w:r w:rsidRPr="007B1F78">
        <w:t xml:space="preserve">.  </w:t>
      </w:r>
      <w:r w:rsidR="00A2421A" w:rsidRPr="007B1F78">
        <w:t xml:space="preserve">(HPMS memo </w:t>
      </w:r>
      <w:r w:rsidR="00DA6544">
        <w:t>09/11/2015</w:t>
      </w:r>
      <w:r w:rsidR="00A2421A" w:rsidRPr="007B1F78">
        <w:t>)</w:t>
      </w:r>
    </w:p>
    <w:p w:rsidR="00FB003F" w:rsidRPr="007B1F78" w:rsidRDefault="002B0E19" w:rsidP="00CD7797">
      <w:pPr>
        <w:pStyle w:val="ReadinessBullett1"/>
      </w:pPr>
      <w:r w:rsidRPr="007B1F78">
        <w:t xml:space="preserve">Take appropriate actions in response to files concerning deeming from CMS: </w:t>
      </w:r>
      <w:r w:rsidR="00394892" w:rsidRPr="007B1F78">
        <w:t>Twice a year, in September and December, CMS issues Loss of Subsidy files related to</w:t>
      </w:r>
      <w:r w:rsidR="00E61282">
        <w:t xml:space="preserve"> Part D sponsors’ LIS members. </w:t>
      </w:r>
      <w:r w:rsidR="00394892" w:rsidRPr="007B1F78">
        <w:t xml:space="preserve">The September </w:t>
      </w:r>
      <w:r w:rsidR="00BA3C56">
        <w:t>6</w:t>
      </w:r>
      <w:r w:rsidR="00BA3C56" w:rsidRPr="00BA3C56">
        <w:rPr>
          <w:vertAlign w:val="superscript"/>
        </w:rPr>
        <w:t>th</w:t>
      </w:r>
      <w:r w:rsidR="00BA3C56">
        <w:t xml:space="preserve"> </w:t>
      </w:r>
      <w:r w:rsidR="00394892" w:rsidRPr="007B1F78">
        <w:t xml:space="preserve">file identifies the beneficiaries receiving the CMS “undeemed” letter, and is to be used by sponsors for outreach to those individuals. The December file is the definitive file of those losing LIS status, and sponsors must use that file to update their systems and send affected beneficiaries the LIS termination notice. Additional information is available in the </w:t>
      </w:r>
      <w:r w:rsidR="00394892" w:rsidRPr="00FB013E">
        <w:t>Plan Communication Guide (PCUG) Section, Loss of Subsidy Data File</w:t>
      </w:r>
      <w:r w:rsidR="00394892" w:rsidRPr="006273DA">
        <w:t xml:space="preserve"> </w:t>
      </w:r>
      <w:r w:rsidR="00394892" w:rsidRPr="007B1F78">
        <w:t>(</w:t>
      </w:r>
      <w:hyperlink r:id="rId23" w:history="1">
        <w:r w:rsidR="007C7CBE" w:rsidRPr="007C7CBE">
          <w:rPr>
            <w:rStyle w:val="Hyperlink"/>
          </w:rPr>
          <w:t>http://www.cms.hhs.gov/MMAHelp</w:t>
        </w:r>
      </w:hyperlink>
      <w:r w:rsidR="007C7CBE" w:rsidRPr="002C39F8">
        <w:t>, HPMS memo 09/11/2015</w:t>
      </w:r>
      <w:r w:rsidR="00394892" w:rsidRPr="00335CE7">
        <w:rPr>
          <w:iCs/>
        </w:rPr>
        <w:t>)</w:t>
      </w:r>
      <w:r w:rsidR="00394892" w:rsidRPr="003560D4">
        <w:t>.</w:t>
      </w:r>
    </w:p>
    <w:p w:rsidR="00FC69E2" w:rsidRPr="007B1F78" w:rsidRDefault="002B0E19" w:rsidP="00CD7797">
      <w:pPr>
        <w:pStyle w:val="ReadinessBullett1"/>
      </w:pPr>
      <w:r w:rsidRPr="007B1F78">
        <w:t>Ensure procedures are in place to submit c</w:t>
      </w:r>
      <w:r w:rsidR="00394892" w:rsidRPr="007B1F78">
        <w:t>orrections to beneficiaries’ LIS deemed status to the CMS contractor, Reed &amp; Associates</w:t>
      </w:r>
      <w:r w:rsidRPr="007B1F78">
        <w:t>,</w:t>
      </w:r>
      <w:r w:rsidR="00394892" w:rsidRPr="007B1F78">
        <w:t xml:space="preserve"> following the instructions in the </w:t>
      </w:r>
      <w:r w:rsidR="00394892" w:rsidRPr="004473D0">
        <w:rPr>
          <w:i/>
        </w:rPr>
        <w:t>Medicare Prescription Drug Manual</w:t>
      </w:r>
      <w:r w:rsidR="00394892" w:rsidRPr="00FB013E">
        <w:t>, Chapter 13, Section 70.5.6.</w:t>
      </w:r>
    </w:p>
    <w:p w:rsidR="00B019DB" w:rsidRPr="00111816" w:rsidRDefault="009626F9" w:rsidP="00E21A1C">
      <w:pPr>
        <w:pStyle w:val="Heading1"/>
        <w:spacing w:before="120" w:after="120"/>
        <w:rPr>
          <w:rFonts w:ascii="Calibri" w:hAnsi="Calibri"/>
        </w:rPr>
      </w:pPr>
      <w:bookmarkStart w:id="21" w:name="_Coordination_of_Benefits"/>
      <w:bookmarkStart w:id="22" w:name="_Toc431964676"/>
      <w:bookmarkEnd w:id="21"/>
      <w:r w:rsidRPr="00111816">
        <w:rPr>
          <w:rFonts w:ascii="Calibri" w:hAnsi="Calibri"/>
        </w:rPr>
        <w:lastRenderedPageBreak/>
        <w:t xml:space="preserve">J. </w:t>
      </w:r>
      <w:r w:rsidR="005F729E" w:rsidRPr="00111816">
        <w:rPr>
          <w:rFonts w:ascii="Calibri" w:hAnsi="Calibri"/>
        </w:rPr>
        <w:t xml:space="preserve">Coordination of Benefits </w:t>
      </w:r>
      <w:r w:rsidR="00DF74A5" w:rsidRPr="00111816">
        <w:rPr>
          <w:rFonts w:ascii="Calibri" w:hAnsi="Calibri"/>
        </w:rPr>
        <w:t xml:space="preserve">(COB) </w:t>
      </w:r>
      <w:r w:rsidR="003D0BFC" w:rsidRPr="00111816">
        <w:rPr>
          <w:rFonts w:ascii="Calibri" w:hAnsi="Calibri"/>
        </w:rPr>
        <w:t xml:space="preserve">and Automatic </w:t>
      </w:r>
      <w:r w:rsidR="000F42C9">
        <w:rPr>
          <w:rFonts w:ascii="Calibri" w:hAnsi="Calibri"/>
        </w:rPr>
        <w:t xml:space="preserve">True Out-of-Pocket </w:t>
      </w:r>
      <w:r w:rsidR="005734DA">
        <w:rPr>
          <w:rFonts w:ascii="Calibri" w:hAnsi="Calibri"/>
        </w:rPr>
        <w:t xml:space="preserve">Cost </w:t>
      </w:r>
      <w:r w:rsidR="000F42C9">
        <w:rPr>
          <w:rFonts w:ascii="Calibri" w:hAnsi="Calibri"/>
        </w:rPr>
        <w:t>(</w:t>
      </w:r>
      <w:r w:rsidR="003D0BFC" w:rsidRPr="00111816">
        <w:rPr>
          <w:rFonts w:ascii="Calibri" w:hAnsi="Calibri"/>
        </w:rPr>
        <w:t>TrOOP</w:t>
      </w:r>
      <w:r w:rsidR="000F42C9">
        <w:rPr>
          <w:rFonts w:ascii="Calibri" w:hAnsi="Calibri"/>
        </w:rPr>
        <w:t>)</w:t>
      </w:r>
      <w:r w:rsidR="003D0BFC" w:rsidRPr="00111816">
        <w:rPr>
          <w:rFonts w:ascii="Calibri" w:hAnsi="Calibri"/>
        </w:rPr>
        <w:t xml:space="preserve"> Balance Transfer</w:t>
      </w:r>
      <w:bookmarkEnd w:id="22"/>
    </w:p>
    <w:p w:rsidR="00FB003F" w:rsidRPr="00B019DB" w:rsidRDefault="00D11F8E" w:rsidP="00CD7797">
      <w:pPr>
        <w:pStyle w:val="Outline1"/>
        <w:numPr>
          <w:ilvl w:val="0"/>
          <w:numId w:val="25"/>
        </w:numPr>
      </w:pPr>
      <w:r w:rsidRPr="00B019DB">
        <w:t>Coordination of Benefits (COB) Data Report/File Processing</w:t>
      </w:r>
      <w:r w:rsidR="00D917A8">
        <w:t>/</w:t>
      </w:r>
      <w:r w:rsidR="00D917A8" w:rsidRPr="00111816">
        <w:t>Automated TrOOP balance transfer (ATBT) Process</w:t>
      </w:r>
      <w:r w:rsidRPr="00B019DB">
        <w:t xml:space="preserve"> </w:t>
      </w:r>
      <w:r w:rsidR="001A38C0" w:rsidRPr="00B019DB">
        <w:t>– Medicare Advantage</w:t>
      </w:r>
      <w:r w:rsidR="00AC0B0F" w:rsidRPr="00B019DB">
        <w:t xml:space="preserve"> Organizations</w:t>
      </w:r>
      <w:r w:rsidR="001A38C0" w:rsidRPr="00B019DB">
        <w:t xml:space="preserve"> and Part D Sponsors </w:t>
      </w:r>
    </w:p>
    <w:p w:rsidR="00DD2179" w:rsidRPr="00111816" w:rsidRDefault="00DD2179" w:rsidP="00111816">
      <w:pPr>
        <w:pStyle w:val="OutlineParagraph"/>
      </w:pPr>
      <w:r w:rsidRPr="00111816">
        <w:t xml:space="preserve">Beginning in January </w:t>
      </w:r>
      <w:r w:rsidR="009F39A3" w:rsidRPr="00111816">
        <w:t>2016, Part D sponsors must a</w:t>
      </w:r>
      <w:r w:rsidRPr="00111816">
        <w:t>b</w:t>
      </w:r>
      <w:r w:rsidR="006229C0" w:rsidRPr="00111816">
        <w:t xml:space="preserve">le to accept and respond to </w:t>
      </w:r>
      <w:r w:rsidR="006863BB">
        <w:t>financial information reporting (</w:t>
      </w:r>
      <w:r w:rsidR="006229C0" w:rsidRPr="00111816">
        <w:t>FIR</w:t>
      </w:r>
      <w:r w:rsidR="006863BB">
        <w:t>)</w:t>
      </w:r>
      <w:r w:rsidR="006229C0" w:rsidRPr="00111816">
        <w:t xml:space="preserve"> </w:t>
      </w:r>
      <w:r w:rsidRPr="00111816">
        <w:t>transactions triggered under the enhanced ATBT process for years in the</w:t>
      </w:r>
      <w:r w:rsidR="00D64AEA" w:rsidRPr="00111816">
        <w:t xml:space="preserve"> extended time period. Therefore, sponsors must ensure that their FIR processors are contracted to handle transactions for the current as well as all prior years covered under the enhanced ATBT process. For some sponsors, this may entail re-contracting with a former processor to process prior year FIR transactions.  (HPMS memo 07/02/2015)</w:t>
      </w:r>
    </w:p>
    <w:p w:rsidR="00701F8F" w:rsidRDefault="002D6A36" w:rsidP="00CD7797">
      <w:pPr>
        <w:pStyle w:val="ReadinessOutlineI"/>
      </w:pPr>
      <w:r>
        <w:t>Hospice</w:t>
      </w:r>
    </w:p>
    <w:p w:rsidR="002D6A36" w:rsidRPr="00FB013E" w:rsidRDefault="00701F8F" w:rsidP="00CD7797">
      <w:pPr>
        <w:pStyle w:val="ReadinessBullett1"/>
        <w:rPr>
          <w:b/>
        </w:rPr>
      </w:pPr>
      <w:r>
        <w:t>For hospice beneficiaries, e</w:t>
      </w:r>
      <w:r w:rsidRPr="00724521">
        <w:t xml:space="preserve">nsure that your organization has </w:t>
      </w:r>
      <w:r>
        <w:t xml:space="preserve">in place beneficiary-level Prior Authorization (PA) requirements on four categories of prescription drugs: analgesics, antinauseants (antiemetics), laxatives, and antianxiety drugs (anxiolytics).  The updated FAQ document can be found at </w:t>
      </w:r>
      <w:hyperlink r:id="rId24" w:history="1">
        <w:r w:rsidRPr="00864F40">
          <w:rPr>
            <w:rStyle w:val="Hyperlink"/>
          </w:rPr>
          <w:t>http://www.cms.gov/Medicare/Prescription-Drug-Coverage/PrescriptionDrugCovContra/index.html</w:t>
        </w:r>
      </w:hyperlink>
      <w:r w:rsidR="00026C68">
        <w:rPr>
          <w:color w:val="1F497D"/>
        </w:rPr>
        <w:t xml:space="preserve">. </w:t>
      </w:r>
      <w:r w:rsidRPr="009866E1">
        <w:t>(HPMS memo 07/18/2015</w:t>
      </w:r>
      <w:r>
        <w:t>)</w:t>
      </w:r>
    </w:p>
    <w:p w:rsidR="00701F8F" w:rsidRPr="00FB013E" w:rsidRDefault="00701F8F" w:rsidP="00D917A8">
      <w:pPr>
        <w:pStyle w:val="ReadinessBullett1"/>
      </w:pPr>
      <w:r w:rsidRPr="00FB013E">
        <w:t xml:space="preserve">Utilize the approved form for collection </w:t>
      </w:r>
      <w:r w:rsidR="00D917A8">
        <w:t xml:space="preserve">of </w:t>
      </w:r>
      <w:r w:rsidRPr="00FB013E">
        <w:t xml:space="preserve">Hospice Information for Medicare Part D Plans to facilitate communication between Part D plans, hospices, prescribers, and pharmacists who serve beneficiaries enrolled in hospice.  </w:t>
      </w:r>
      <w:r w:rsidR="00D917A8" w:rsidRPr="00D917A8">
        <w:t xml:space="preserve">https://www.cms.gov/Medicare/Medicare-Fee-for-Service-Payment/Hospice/Downloads/Hospice-Info-PartD.zip </w:t>
      </w:r>
      <w:r w:rsidRPr="00FB013E">
        <w:t xml:space="preserve">(HPMS memo </w:t>
      </w:r>
      <w:r w:rsidR="00D917A8">
        <w:t>0</w:t>
      </w:r>
      <w:r w:rsidRPr="00FB013E">
        <w:t>3/24/</w:t>
      </w:r>
      <w:r w:rsidR="00D917A8">
        <w:t>20</w:t>
      </w:r>
      <w:r w:rsidRPr="00FB013E">
        <w:t>15)</w:t>
      </w:r>
    </w:p>
    <w:p w:rsidR="00701F8F" w:rsidRDefault="00701F8F" w:rsidP="00CD7797">
      <w:pPr>
        <w:pStyle w:val="ReadinessOutlineI"/>
      </w:pPr>
      <w:r w:rsidRPr="00104F2F">
        <w:t>End-Stage Renal Disease (</w:t>
      </w:r>
      <w:r w:rsidR="00A67A15" w:rsidRPr="00682745">
        <w:t>ESRD</w:t>
      </w:r>
      <w:r w:rsidRPr="00682745">
        <w:t>)</w:t>
      </w:r>
      <w:r w:rsidR="00A67A15">
        <w:t xml:space="preserve"> </w:t>
      </w:r>
    </w:p>
    <w:p w:rsidR="00701F8F" w:rsidRDefault="00701F8F" w:rsidP="00CD7797">
      <w:pPr>
        <w:pStyle w:val="ReadinessBullett1"/>
      </w:pPr>
      <w:r>
        <w:lastRenderedPageBreak/>
        <w:t xml:space="preserve">Ensure your organization does not pay for drugs and biologics that are included in the Medicare Part B bundled payment to an ESRD dialysis facility (as specified in section 1881(b)(14) of the Social Security Act and in Federal regulations at Part 413). When a sponsor receives a daily TRR showing an ESRD beneficiary is receiving renal dialysis services, the sponsor must have controls in place to comply with this requirement. </w:t>
      </w:r>
    </w:p>
    <w:p w:rsidR="00026C68" w:rsidRDefault="00701F8F" w:rsidP="00CD7797">
      <w:pPr>
        <w:pStyle w:val="ReadinessBullett1"/>
      </w:pPr>
      <w:r>
        <w:t xml:space="preserve">We strongly encourage sponsors to place beneficiary-level PA requirements on the </w:t>
      </w:r>
      <w:r w:rsidR="008E1A5B">
        <w:t xml:space="preserve">four </w:t>
      </w:r>
      <w:r>
        <w:t>categories of drugs that are always used for ESRD treatment</w:t>
      </w:r>
      <w:r w:rsidR="008E1A5B">
        <w:t xml:space="preserve">; CMS removed anti-infectives from the always ESRD-related categories of drugs in the 2015 ESRD prospective payment system final rule which appeared in the Federal Register on November 6, 2014. (HPMS memo 5/12/15)  </w:t>
      </w:r>
    </w:p>
    <w:p w:rsidR="00E16956" w:rsidRPr="00D50C23" w:rsidRDefault="008E1A5B" w:rsidP="00CD7797">
      <w:pPr>
        <w:pStyle w:val="ReadinessBullett1"/>
      </w:pPr>
      <w:r>
        <w:t xml:space="preserve">In addition, </w:t>
      </w:r>
      <w:r w:rsidRPr="008E1A5B">
        <w:rPr>
          <w:bCs/>
        </w:rPr>
        <w:t>we strongly encourage sponsors to remove the beneficiary-level PA edits on</w:t>
      </w:r>
      <w:r w:rsidR="00701F8F">
        <w:t xml:space="preserve"> the seven categories of prescription drugs that may be used for ESRD treatment.  </w:t>
      </w:r>
      <w:r>
        <w:t>S</w:t>
      </w:r>
      <w:r w:rsidRPr="00AA6D86">
        <w:t xml:space="preserve">ponsors are not expected to place ESRD PA requirements on these seven categories of drugs or take special measures beyond their normal compliance and utilization review activities. </w:t>
      </w:r>
      <w:r>
        <w:t>However, i</w:t>
      </w:r>
      <w:r w:rsidRPr="00AA6D86">
        <w:t>f it is determined through routine utilization review or otherwise that a renal dialysis service drug has been inappropriately billed to Part D, the sponsor and the ESRD facility should negotiate repayment.</w:t>
      </w:r>
      <w:r>
        <w:rPr>
          <w:sz w:val="23"/>
          <w:szCs w:val="23"/>
        </w:rPr>
        <w:t xml:space="preserve"> </w:t>
      </w:r>
      <w:r w:rsidR="00701F8F">
        <w:t>(HPMS memo</w:t>
      </w:r>
      <w:r>
        <w:t>s</w:t>
      </w:r>
      <w:r w:rsidR="004A6CCE">
        <w:t xml:space="preserve"> 05/12/2015 and</w:t>
      </w:r>
      <w:r>
        <w:t xml:space="preserve"> 11/14/2014</w:t>
      </w:r>
      <w:r w:rsidR="00701F8F">
        <w:t>)</w:t>
      </w:r>
    </w:p>
    <w:p w:rsidR="00B41723" w:rsidRDefault="00B41723" w:rsidP="00CD7797">
      <w:pPr>
        <w:pStyle w:val="ReadinessOutlineI"/>
      </w:pPr>
      <w:r>
        <w:t>Drugs Available under Part A or Part B</w:t>
      </w:r>
    </w:p>
    <w:p w:rsidR="004571E5" w:rsidRPr="00B41723" w:rsidRDefault="004571E5" w:rsidP="004C2F0F">
      <w:pPr>
        <w:pStyle w:val="OutlineParagraph"/>
      </w:pPr>
      <w:r w:rsidRPr="00B41723">
        <w:t xml:space="preserve">MA-PD plans must coordinate all benefits administered by the plan with respect to drugs for which </w:t>
      </w:r>
      <w:r w:rsidRPr="004C2F0F">
        <w:t>payment</w:t>
      </w:r>
      <w:r w:rsidRPr="00B41723">
        <w:t xml:space="preserve"> may be available under Part A or Part B.  (42 C.F.R. § 422.112(b)(7))</w:t>
      </w:r>
    </w:p>
    <w:p w:rsidR="00D11F8E" w:rsidRPr="00111816" w:rsidRDefault="009626F9" w:rsidP="005201FD">
      <w:pPr>
        <w:pStyle w:val="Heading1"/>
        <w:spacing w:before="120" w:after="120"/>
        <w:rPr>
          <w:rFonts w:ascii="Calibri" w:hAnsi="Calibri"/>
        </w:rPr>
      </w:pPr>
      <w:bookmarkStart w:id="23" w:name="_Claims_Processing_and"/>
      <w:bookmarkStart w:id="24" w:name="_Toc431964677"/>
      <w:bookmarkEnd w:id="23"/>
      <w:r w:rsidRPr="00111816">
        <w:rPr>
          <w:rFonts w:ascii="Calibri" w:hAnsi="Calibri"/>
        </w:rPr>
        <w:t xml:space="preserve">K. </w:t>
      </w:r>
      <w:r w:rsidR="00D11F8E" w:rsidRPr="00111816">
        <w:rPr>
          <w:rFonts w:ascii="Calibri" w:hAnsi="Calibri"/>
        </w:rPr>
        <w:t>Claims Processing and Transition Process</w:t>
      </w:r>
      <w:bookmarkEnd w:id="24"/>
      <w:r w:rsidR="004C2F0F" w:rsidRPr="00111816">
        <w:rPr>
          <w:rFonts w:ascii="Calibri" w:hAnsi="Calibri"/>
        </w:rPr>
        <w:t xml:space="preserve"> – Part D Sponsors</w:t>
      </w:r>
    </w:p>
    <w:p w:rsidR="00B16F99" w:rsidRPr="00026C68" w:rsidRDefault="00B16F99" w:rsidP="00026C68">
      <w:pPr>
        <w:pStyle w:val="OutlineParagraph"/>
        <w:numPr>
          <w:ilvl w:val="1"/>
          <w:numId w:val="15"/>
        </w:numPr>
        <w:ind w:hanging="360"/>
        <w:rPr>
          <w:color w:val="000000" w:themeColor="text1"/>
        </w:rPr>
      </w:pPr>
      <w:r w:rsidRPr="007B1F78">
        <w:t xml:space="preserve">CMS expects </w:t>
      </w:r>
      <w:r w:rsidR="006273DA">
        <w:t xml:space="preserve">each </w:t>
      </w:r>
      <w:r w:rsidRPr="007B1F78">
        <w:t xml:space="preserve">sponsor to fully </w:t>
      </w:r>
      <w:r w:rsidRPr="007B1F78">
        <w:softHyphen/>
        <w:t>test how their transition policy works in</w:t>
      </w:r>
      <w:r w:rsidR="006273DA">
        <w:t xml:space="preserve"> its</w:t>
      </w:r>
      <w:r w:rsidRPr="007B1F78">
        <w:t xml:space="preserve"> claims adjudication system, including pharmacy notification, in order to ensure that the transition </w:t>
      </w:r>
      <w:r w:rsidRPr="00026C68">
        <w:rPr>
          <w:color w:val="000000" w:themeColor="text1"/>
        </w:rPr>
        <w:t>policy has been programmed correctly into systems prior to the start of 201</w:t>
      </w:r>
      <w:r w:rsidR="006273DA" w:rsidRPr="00026C68">
        <w:rPr>
          <w:color w:val="000000" w:themeColor="text1"/>
        </w:rPr>
        <w:t>6</w:t>
      </w:r>
      <w:r w:rsidRPr="00026C68">
        <w:rPr>
          <w:color w:val="000000" w:themeColor="text1"/>
        </w:rPr>
        <w:t xml:space="preserve">.  (HPMS memo </w:t>
      </w:r>
      <w:r w:rsidR="00735B63" w:rsidRPr="00026C68">
        <w:rPr>
          <w:color w:val="000000" w:themeColor="text1"/>
        </w:rPr>
        <w:t>0</w:t>
      </w:r>
      <w:r w:rsidRPr="00026C68">
        <w:rPr>
          <w:color w:val="000000" w:themeColor="text1"/>
        </w:rPr>
        <w:t>3/25/2010)</w:t>
      </w:r>
    </w:p>
    <w:p w:rsidR="00851C6C" w:rsidRPr="007B1F78" w:rsidRDefault="00104808" w:rsidP="00026C68">
      <w:pPr>
        <w:pStyle w:val="OutlineParagraph"/>
        <w:numPr>
          <w:ilvl w:val="1"/>
          <w:numId w:val="15"/>
        </w:numPr>
        <w:ind w:hanging="360"/>
        <w:rPr>
          <w:b/>
        </w:rPr>
      </w:pPr>
      <w:r w:rsidRPr="00026C68">
        <w:rPr>
          <w:color w:val="000000" w:themeColor="text1"/>
        </w:rPr>
        <w:lastRenderedPageBreak/>
        <w:t>Implement</w:t>
      </w:r>
      <w:r w:rsidR="00123A0F" w:rsidRPr="00026C68">
        <w:rPr>
          <w:color w:val="000000" w:themeColor="text1"/>
        </w:rPr>
        <w:t xml:space="preserve"> a transition process for current enrollees who will experience negative changes as a result of revisions to their plan’s formulary across contract years (i.e., from CY201</w:t>
      </w:r>
      <w:r w:rsidR="00AF48EF" w:rsidRPr="00026C68">
        <w:rPr>
          <w:color w:val="000000" w:themeColor="text1"/>
        </w:rPr>
        <w:t>5</w:t>
      </w:r>
      <w:r w:rsidR="00123A0F" w:rsidRPr="00026C68">
        <w:rPr>
          <w:color w:val="000000" w:themeColor="text1"/>
        </w:rPr>
        <w:t xml:space="preserve"> to CY201</w:t>
      </w:r>
      <w:r w:rsidR="00AF48EF" w:rsidRPr="00026C68">
        <w:rPr>
          <w:color w:val="000000" w:themeColor="text1"/>
        </w:rPr>
        <w:t>6</w:t>
      </w:r>
      <w:r w:rsidR="00123A0F" w:rsidRPr="00026C68">
        <w:rPr>
          <w:color w:val="000000" w:themeColor="text1"/>
        </w:rPr>
        <w:t>). Sponsors should work aggressively to prospectively transition current enrollees to therapeutically equivalent formulary drugs or work to complete requests for formulary and tiering exceptions</w:t>
      </w:r>
      <w:r w:rsidR="00123A0F" w:rsidRPr="007B1F78">
        <w:t xml:space="preserve"> to the new CY</w:t>
      </w:r>
      <w:r w:rsidR="0030124F" w:rsidRPr="007B1F78">
        <w:t xml:space="preserve"> </w:t>
      </w:r>
      <w:r w:rsidR="00123A0F" w:rsidRPr="007B1F78">
        <w:t>201</w:t>
      </w:r>
      <w:r w:rsidR="00AF48EF">
        <w:t>6</w:t>
      </w:r>
      <w:r w:rsidR="00123A0F" w:rsidRPr="007B1F78">
        <w:t xml:space="preserve"> formulary prior to January 1, 201</w:t>
      </w:r>
      <w:r w:rsidR="00AF48EF">
        <w:t>6</w:t>
      </w:r>
      <w:r w:rsidR="00583094">
        <w:t xml:space="preserve">. </w:t>
      </w:r>
      <w:r w:rsidR="00123A0F" w:rsidRPr="007B1F78">
        <w:t>Sending the ANOC is not sufficient to effectuate the transition.</w:t>
      </w:r>
      <w:r w:rsidR="00851C6C" w:rsidRPr="007B1F78">
        <w:t xml:space="preserve"> (HPMS memo</w:t>
      </w:r>
      <w:r w:rsidR="00D917A8">
        <w:t>s</w:t>
      </w:r>
      <w:r w:rsidR="00851C6C" w:rsidRPr="007B1F78">
        <w:t xml:space="preserve"> </w:t>
      </w:r>
      <w:r w:rsidR="00735B63">
        <w:t>0</w:t>
      </w:r>
      <w:r w:rsidR="00851C6C" w:rsidRPr="007B1F78">
        <w:t>3/25/2010</w:t>
      </w:r>
      <w:r w:rsidR="009B7FF3">
        <w:t xml:space="preserve"> and</w:t>
      </w:r>
      <w:r w:rsidR="00851C6C" w:rsidRPr="007B1F78">
        <w:t xml:space="preserve"> </w:t>
      </w:r>
      <w:r w:rsidR="00735B63">
        <w:t>0</w:t>
      </w:r>
      <w:r w:rsidR="00851C6C" w:rsidRPr="007B1F78">
        <w:t>8/27/2010)</w:t>
      </w:r>
    </w:p>
    <w:p w:rsidR="00D42717" w:rsidRPr="00D22DB2" w:rsidRDefault="00696E8C" w:rsidP="00CD7797">
      <w:pPr>
        <w:pStyle w:val="OutlineParagraph"/>
        <w:numPr>
          <w:ilvl w:val="2"/>
          <w:numId w:val="15"/>
        </w:numPr>
        <w:ind w:left="720" w:hanging="360"/>
        <w:rPr>
          <w:color w:val="000000" w:themeColor="text1"/>
        </w:rPr>
      </w:pPr>
      <w:r>
        <w:rPr>
          <w:color w:val="000000" w:themeColor="text1"/>
        </w:rPr>
        <w:t>E</w:t>
      </w:r>
      <w:r w:rsidR="00851C6C" w:rsidRPr="00D22DB2">
        <w:rPr>
          <w:color w:val="000000" w:themeColor="text1"/>
        </w:rPr>
        <w:t xml:space="preserve">nsure a transition supply has been provided </w:t>
      </w:r>
      <w:r>
        <w:rPr>
          <w:color w:val="000000" w:themeColor="text1"/>
        </w:rPr>
        <w:t>by</w:t>
      </w:r>
      <w:r w:rsidR="00851C6C" w:rsidRPr="00D22DB2">
        <w:rPr>
          <w:color w:val="000000" w:themeColor="text1"/>
        </w:rPr>
        <w:t xml:space="preserve"> </w:t>
      </w:r>
      <w:r w:rsidR="002A08E1" w:rsidRPr="00D22DB2">
        <w:rPr>
          <w:color w:val="000000" w:themeColor="text1"/>
        </w:rPr>
        <w:t xml:space="preserve">closely </w:t>
      </w:r>
      <w:r w:rsidR="00851C6C" w:rsidRPr="00D22DB2">
        <w:rPr>
          <w:color w:val="000000" w:themeColor="text1"/>
        </w:rPr>
        <w:t>monitor enrollees’ rejected claims after the beginning of CY 201</w:t>
      </w:r>
      <w:r w:rsidR="006273DA">
        <w:rPr>
          <w:color w:val="000000" w:themeColor="text1"/>
        </w:rPr>
        <w:t>6</w:t>
      </w:r>
      <w:r>
        <w:rPr>
          <w:color w:val="000000" w:themeColor="text1"/>
        </w:rPr>
        <w:t>, among other monitoring strategies</w:t>
      </w:r>
      <w:r w:rsidR="008F1EF8" w:rsidRPr="00D22DB2">
        <w:rPr>
          <w:color w:val="000000" w:themeColor="text1"/>
        </w:rPr>
        <w:t>.</w:t>
      </w:r>
      <w:r w:rsidR="00851C6C" w:rsidRPr="00D22DB2">
        <w:rPr>
          <w:color w:val="000000" w:themeColor="text1"/>
        </w:rPr>
        <w:t xml:space="preserve"> </w:t>
      </w:r>
    </w:p>
    <w:p w:rsidR="00D11F8E" w:rsidRPr="00DF34BD" w:rsidRDefault="009626F9" w:rsidP="005201FD">
      <w:pPr>
        <w:pStyle w:val="Heading1"/>
        <w:spacing w:before="120" w:after="120"/>
        <w:rPr>
          <w:rFonts w:ascii="Calibri" w:hAnsi="Calibri"/>
        </w:rPr>
      </w:pPr>
      <w:bookmarkStart w:id="25" w:name="_L._Grievances,_Coverage"/>
      <w:bookmarkStart w:id="26" w:name="_Toc431964678"/>
      <w:bookmarkEnd w:id="25"/>
      <w:r w:rsidRPr="00DF34BD">
        <w:rPr>
          <w:rFonts w:ascii="Calibri" w:hAnsi="Calibri"/>
        </w:rPr>
        <w:t xml:space="preserve">L. </w:t>
      </w:r>
      <w:r w:rsidR="00A21C37" w:rsidRPr="00DF34BD">
        <w:rPr>
          <w:rFonts w:ascii="Calibri" w:hAnsi="Calibri"/>
        </w:rPr>
        <w:t>Grievances,</w:t>
      </w:r>
      <w:r w:rsidR="00D11F8E" w:rsidRPr="00DF34BD">
        <w:rPr>
          <w:rFonts w:ascii="Calibri" w:hAnsi="Calibri"/>
        </w:rPr>
        <w:t xml:space="preserve"> </w:t>
      </w:r>
      <w:r w:rsidR="004324A0" w:rsidRPr="00DF34BD">
        <w:rPr>
          <w:rFonts w:ascii="Calibri" w:hAnsi="Calibri"/>
        </w:rPr>
        <w:t xml:space="preserve">Initial </w:t>
      </w:r>
      <w:r w:rsidR="00A21C37" w:rsidRPr="00DF34BD">
        <w:rPr>
          <w:rFonts w:ascii="Calibri" w:hAnsi="Calibri"/>
        </w:rPr>
        <w:t xml:space="preserve">Coverage </w:t>
      </w:r>
      <w:r w:rsidR="004324A0" w:rsidRPr="00DF34BD">
        <w:rPr>
          <w:rFonts w:ascii="Calibri" w:hAnsi="Calibri"/>
        </w:rPr>
        <w:t>Decisions</w:t>
      </w:r>
      <w:r w:rsidR="00A21C37" w:rsidRPr="00DF34BD">
        <w:rPr>
          <w:rFonts w:ascii="Calibri" w:hAnsi="Calibri"/>
        </w:rPr>
        <w:t xml:space="preserve">, </w:t>
      </w:r>
      <w:r w:rsidR="00D11F8E" w:rsidRPr="00DF34BD">
        <w:rPr>
          <w:rFonts w:ascii="Calibri" w:hAnsi="Calibri"/>
        </w:rPr>
        <w:t xml:space="preserve">and </w:t>
      </w:r>
      <w:r w:rsidR="00A21C37" w:rsidRPr="00DF34BD">
        <w:rPr>
          <w:rFonts w:ascii="Calibri" w:hAnsi="Calibri"/>
        </w:rPr>
        <w:t>Appeals</w:t>
      </w:r>
      <w:bookmarkEnd w:id="26"/>
      <w:r w:rsidR="00A21C37" w:rsidRPr="00DF34BD" w:rsidDel="00A21C37">
        <w:rPr>
          <w:rFonts w:ascii="Calibri" w:hAnsi="Calibri"/>
        </w:rPr>
        <w:t xml:space="preserve"> </w:t>
      </w:r>
    </w:p>
    <w:p w:rsidR="0014031E" w:rsidRPr="007B1F78" w:rsidRDefault="006273DA" w:rsidP="00CD7797">
      <w:pPr>
        <w:pStyle w:val="Outline1"/>
        <w:numPr>
          <w:ilvl w:val="0"/>
          <w:numId w:val="26"/>
        </w:numPr>
      </w:pPr>
      <w:r>
        <w:t>Staffing Requirements Related to Initial Coverage Decisions and Appeals</w:t>
      </w:r>
      <w:r w:rsidR="00EA489A" w:rsidRPr="007B1F78">
        <w:t>– Medicare Advanta</w:t>
      </w:r>
      <w:r w:rsidR="00DC479F">
        <w:t xml:space="preserve">ge Organizations and Part D </w:t>
      </w:r>
      <w:r w:rsidR="00EA489A" w:rsidRPr="007B1F78">
        <w:t xml:space="preserve">Sponsors </w:t>
      </w:r>
    </w:p>
    <w:p w:rsidR="0014031E" w:rsidRPr="007B1F78" w:rsidRDefault="00EA489A" w:rsidP="00111816">
      <w:pPr>
        <w:pStyle w:val="OutlineParagraph"/>
      </w:pPr>
      <w:r w:rsidRPr="007B1F78">
        <w:t xml:space="preserve">Your </w:t>
      </w:r>
      <w:r w:rsidRPr="00111816">
        <w:t>organization</w:t>
      </w:r>
      <w:r w:rsidRPr="007B1F78">
        <w:t xml:space="preserve"> must employ a medical director who is responsible for the clinical accuracy of all initial coverage de</w:t>
      </w:r>
      <w:r w:rsidR="009C5F87" w:rsidRPr="007B1F78">
        <w:t>cisions and appeals that involve medical necessity.  The medical director must be a physician with a current and unrestricted license to practice medicine in a State, Territory, Commonwealth of the United States, or the District of Columbia.</w:t>
      </w:r>
      <w:r w:rsidR="00735B63">
        <w:t xml:space="preserve"> (42 C.F.R. §§ 422.562,</w:t>
      </w:r>
      <w:r w:rsidR="00190FAB">
        <w:t xml:space="preserve"> </w:t>
      </w:r>
      <w:r w:rsidR="00BD16C7" w:rsidRPr="007B1F78">
        <w:t>423.562)</w:t>
      </w:r>
      <w:r w:rsidR="006273DA">
        <w:t xml:space="preserve">  In addition, </w:t>
      </w:r>
      <w:r w:rsidR="006273DA" w:rsidRPr="007B1F78">
        <w:t xml:space="preserve">your organization </w:t>
      </w:r>
      <w:r w:rsidR="006273DA">
        <w:t xml:space="preserve">must be staffed to </w:t>
      </w:r>
      <w:r w:rsidR="006273DA" w:rsidRPr="007B1F78">
        <w:t xml:space="preserve"> satisfy the requirement that a physician or other appropriate health care professional with sufficient medical and other expertise, including knowledge of Medicare coverage criteria, review the initial coverage decision if your organization expects to issue a partially or fully adverse decision based on medical necessity. The physician or other health care professional must have a current and unrestricted license to practice within the scope of his or her profession in a State, Territory, Commonwealth of the United States, or the District of Columbia. </w:t>
      </w:r>
      <w:r w:rsidR="006273DA">
        <w:t xml:space="preserve">(42 C.F.R. §§ 422.562, </w:t>
      </w:r>
      <w:r w:rsidR="006273DA" w:rsidRPr="007B1F78">
        <w:t>423.562</w:t>
      </w:r>
      <w:r w:rsidR="006273DA">
        <w:t xml:space="preserve">, </w:t>
      </w:r>
      <w:r w:rsidR="006273DA" w:rsidRPr="007B1F78">
        <w:t>422.566,</w:t>
      </w:r>
      <w:r w:rsidR="006273DA">
        <w:t xml:space="preserve"> and</w:t>
      </w:r>
      <w:r w:rsidR="006273DA" w:rsidRPr="007B1F78">
        <w:t xml:space="preserve"> 423.566</w:t>
      </w:r>
      <w:r w:rsidR="006273DA">
        <w:t>)</w:t>
      </w:r>
    </w:p>
    <w:p w:rsidR="00026C68" w:rsidRDefault="005C2918" w:rsidP="00026C68">
      <w:pPr>
        <w:pStyle w:val="ReadinessOutlineI"/>
      </w:pPr>
      <w:r>
        <w:t>Appropriateness of Clinical Decision-Making</w:t>
      </w:r>
      <w:r w:rsidR="002C42C2" w:rsidRPr="002C42C2">
        <w:t xml:space="preserve"> </w:t>
      </w:r>
      <w:r w:rsidR="002C42C2">
        <w:t xml:space="preserve"> </w:t>
      </w:r>
      <w:r w:rsidR="00026C68">
        <w:t>–</w:t>
      </w:r>
      <w:r w:rsidR="002C42C2">
        <w:t xml:space="preserve"> Medicare Advantage Organizations</w:t>
      </w:r>
      <w:r w:rsidR="000B78BA">
        <w:t xml:space="preserve"> </w:t>
      </w:r>
      <w:r w:rsidR="002C42C2">
        <w:t>and Part D Plan Sponsors</w:t>
      </w:r>
      <w:r w:rsidR="00026C68">
        <w:t xml:space="preserve"> </w:t>
      </w:r>
    </w:p>
    <w:p w:rsidR="005C2918" w:rsidRPr="00DA6544" w:rsidRDefault="005C2918" w:rsidP="004C2F0F">
      <w:pPr>
        <w:pStyle w:val="OutlineParagraph"/>
      </w:pPr>
      <w:r w:rsidRPr="00DA6544">
        <w:lastRenderedPageBreak/>
        <w:t xml:space="preserve">Your organization must ensure that clinical and administrative staff and delegated entities involved in processing </w:t>
      </w:r>
      <w:r w:rsidR="002C42C2" w:rsidRPr="00DA6544">
        <w:t xml:space="preserve">initial </w:t>
      </w:r>
      <w:r w:rsidRPr="00DA6544">
        <w:t>coverage de</w:t>
      </w:r>
      <w:r w:rsidR="002C42C2" w:rsidRPr="00DA6544">
        <w:t>cision</w:t>
      </w:r>
      <w:r w:rsidRPr="00DA6544">
        <w:t>s</w:t>
      </w:r>
      <w:r w:rsidR="002C42C2" w:rsidRPr="00DA6544">
        <w:t xml:space="preserve"> </w:t>
      </w:r>
      <w:r w:rsidRPr="00DA6544">
        <w:t xml:space="preserve">and appeals comply with all CMS and plan coverage rules.  You must be able to demonstrate that clinical decision-making involves the consideration of your CMS-approved </w:t>
      </w:r>
      <w:r w:rsidR="002C42C2" w:rsidRPr="00DA6544">
        <w:t xml:space="preserve">Explanation of Benefits, drug </w:t>
      </w:r>
      <w:r w:rsidRPr="00DA6544">
        <w:t>formulary, appropriate CMS regulations and guidance, required drug compendia, previous claims history</w:t>
      </w:r>
      <w:r w:rsidR="00AC12B7">
        <w:t>,</w:t>
      </w:r>
      <w:r w:rsidRPr="00DA6544">
        <w:t xml:space="preserve"> and all submitted clinical information.  </w:t>
      </w:r>
      <w:r w:rsidR="006C1BF2" w:rsidRPr="00DA6544">
        <w:t xml:space="preserve">You must also be able to demonstrate procedures for making and documenting requests for </w:t>
      </w:r>
      <w:r w:rsidRPr="00DA6544">
        <w:t xml:space="preserve">necessary clinical documentation from providers and prescribers </w:t>
      </w:r>
      <w:r w:rsidR="006C1BF2" w:rsidRPr="00DA6544">
        <w:t>when</w:t>
      </w:r>
      <w:r w:rsidRPr="00DA6544">
        <w:t xml:space="preserve"> documentation is needed to properly adjudicate coverage requests and appeals.  </w:t>
      </w:r>
    </w:p>
    <w:p w:rsidR="004C2F0F" w:rsidRDefault="004C2F0F" w:rsidP="00CD7797">
      <w:pPr>
        <w:pStyle w:val="ReadinessOutlineI"/>
      </w:pPr>
      <w:r w:rsidRPr="009866E1">
        <w:t xml:space="preserve">Proper </w:t>
      </w:r>
      <w:r>
        <w:t>U</w:t>
      </w:r>
      <w:r w:rsidRPr="009866E1">
        <w:t xml:space="preserve">se of </w:t>
      </w:r>
      <w:r>
        <w:t xml:space="preserve">Adjudication Timeframe </w:t>
      </w:r>
      <w:r w:rsidRPr="009866E1">
        <w:t>Extensions – M</w:t>
      </w:r>
      <w:r>
        <w:t>edicare Advantage Organizations</w:t>
      </w:r>
    </w:p>
    <w:p w:rsidR="006C1BF2" w:rsidRPr="00D97239" w:rsidRDefault="006C1BF2" w:rsidP="004C2F0F">
      <w:pPr>
        <w:pStyle w:val="OutlineParagraph"/>
        <w:rPr>
          <w:b/>
        </w:rPr>
      </w:pPr>
      <w:r>
        <w:t xml:space="preserve">Under limited circumstances, Medicare Advantage organizations may extend the adjudication timeframe for organization determinations and reconsiderations.  Ensure that your organization is in compliance with the use of extensions per the regulatory requirements at </w:t>
      </w:r>
      <w:r w:rsidRPr="00826260">
        <w:t>§</w:t>
      </w:r>
      <w:r>
        <w:t xml:space="preserve">422.568, </w:t>
      </w:r>
      <w:r w:rsidRPr="00826260">
        <w:t>§</w:t>
      </w:r>
      <w:r>
        <w:t xml:space="preserve">422.572 and </w:t>
      </w:r>
      <w:r w:rsidRPr="00826260">
        <w:t>§</w:t>
      </w:r>
      <w:r>
        <w:t xml:space="preserve">422.590.  </w:t>
      </w:r>
      <w:r w:rsidR="00C15C0F">
        <w:t>(</w:t>
      </w:r>
      <w:r>
        <w:t>February 12, 2015 Federal Register, Vol. 80, p. 7912</w:t>
      </w:r>
      <w:r w:rsidR="00C15C0F">
        <w:t>)</w:t>
      </w:r>
    </w:p>
    <w:p w:rsidR="004A7C17" w:rsidRDefault="004A7C17" w:rsidP="00CD7797">
      <w:pPr>
        <w:pStyle w:val="ReadinessOutlineI"/>
      </w:pPr>
      <w:r>
        <w:t xml:space="preserve">Online Appeals Training Courses – Medicare Advantage Organizations and Part D Sponsors </w:t>
      </w:r>
    </w:p>
    <w:p w:rsidR="008169AE" w:rsidRPr="00FB013E" w:rsidRDefault="004A7C17" w:rsidP="004C2F0F">
      <w:pPr>
        <w:pStyle w:val="OutlineParagraph"/>
      </w:pPr>
      <w:r>
        <w:t>Ensure your organization’s compliance officer, staff involved with initial coverage decisions, appeals</w:t>
      </w:r>
      <w:r w:rsidR="00AC12B7">
        <w:t>,</w:t>
      </w:r>
      <w:r>
        <w:t xml:space="preserve"> and grievances, and customer service representatives, are trained in Part C and Part D processes. CMS provides two optional web-based training (WBT)</w:t>
      </w:r>
      <w:r w:rsidR="00935BEF">
        <w:t xml:space="preserve"> courses</w:t>
      </w:r>
      <w:r>
        <w:t xml:space="preserve"> </w:t>
      </w:r>
      <w:r w:rsidR="006D6EAF">
        <w:t xml:space="preserve">below </w:t>
      </w:r>
      <w:r>
        <w:t xml:space="preserve">to supplement in-house training. </w:t>
      </w:r>
      <w:hyperlink r:id="rId25" w:history="1">
        <w:r w:rsidRPr="006A6B5B">
          <w:rPr>
            <w:rStyle w:val="Hyperlink"/>
          </w:rPr>
          <w:t>http://go.cms.gov/MLNProducts</w:t>
        </w:r>
      </w:hyperlink>
      <w:r w:rsidR="008169AE" w:rsidRPr="008169AE">
        <w:rPr>
          <w:rFonts w:ascii="Arial" w:hAnsi="Arial" w:cs="Arial"/>
          <w:sz w:val="19"/>
          <w:szCs w:val="19"/>
          <w:lang w:val="en"/>
        </w:rPr>
        <w:t>.</w:t>
      </w:r>
      <w:r w:rsidR="008169AE">
        <w:rPr>
          <w:rFonts w:ascii="Arial" w:hAnsi="Arial" w:cs="Arial"/>
          <w:sz w:val="19"/>
          <w:szCs w:val="19"/>
          <w:lang w:val="en"/>
        </w:rPr>
        <w:t xml:space="preserve"> </w:t>
      </w:r>
      <w:r w:rsidR="008169AE" w:rsidRPr="008169AE">
        <w:t>CMS strongly suggests that compliance officers incorporate these courses into their existing in-house training and use the certificate to track course completion within the organization.</w:t>
      </w:r>
      <w:r w:rsidR="000B78BA">
        <w:t xml:space="preserve">  (HPMS memo 04/28/2014)</w:t>
      </w:r>
    </w:p>
    <w:p w:rsidR="00AF6D87" w:rsidRDefault="006D0557" w:rsidP="00CD7797">
      <w:pPr>
        <w:pStyle w:val="ReadinessOutlineI"/>
      </w:pPr>
      <w:r>
        <w:t xml:space="preserve">Rights of Medicare </w:t>
      </w:r>
      <w:r w:rsidR="002C42C2">
        <w:t xml:space="preserve">C &amp; D </w:t>
      </w:r>
      <w:r>
        <w:t>Enrollees</w:t>
      </w:r>
      <w:r w:rsidR="002C42C2">
        <w:t xml:space="preserve"> – Medicare Advantage Organizations and Part D Sponsors, as applicable below</w:t>
      </w:r>
    </w:p>
    <w:p w:rsidR="00FB003F" w:rsidRDefault="009B34E3" w:rsidP="004C2F0F">
      <w:pPr>
        <w:pStyle w:val="OutlineParagraph"/>
      </w:pPr>
      <w:r w:rsidRPr="00104F2F">
        <w:t>Part D sponsors</w:t>
      </w:r>
      <w:r>
        <w:t xml:space="preserve"> must e</w:t>
      </w:r>
      <w:r w:rsidRPr="007B1F78">
        <w:t xml:space="preserve">nsure </w:t>
      </w:r>
      <w:r>
        <w:t xml:space="preserve">that their </w:t>
      </w:r>
      <w:r w:rsidR="00EA489A" w:rsidRPr="007B1F78">
        <w:t xml:space="preserve">organization provides immediate access to the coverage determination and </w:t>
      </w:r>
      <w:r w:rsidR="002C42C2">
        <w:t xml:space="preserve">redetermination processes </w:t>
      </w:r>
      <w:r w:rsidR="00EA489A" w:rsidRPr="007B1F78">
        <w:t xml:space="preserve">via a </w:t>
      </w:r>
      <w:r w:rsidR="00EA489A" w:rsidRPr="007B1F78">
        <w:lastRenderedPageBreak/>
        <w:t xml:space="preserve">toll-free telephone number and website and provides access to model forms for making coverage and </w:t>
      </w:r>
      <w:r w:rsidR="00EA489A" w:rsidRPr="002C7DD7">
        <w:t xml:space="preserve">appeal requests.  </w:t>
      </w:r>
    </w:p>
    <w:p w:rsidR="00D0603B" w:rsidRPr="00111816" w:rsidRDefault="009626F9" w:rsidP="007D60CB">
      <w:pPr>
        <w:pStyle w:val="Heading1"/>
        <w:spacing w:before="120" w:after="120"/>
        <w:rPr>
          <w:rFonts w:ascii="Calibri" w:hAnsi="Calibri"/>
        </w:rPr>
      </w:pPr>
      <w:bookmarkStart w:id="27" w:name="_Toc431964679"/>
      <w:r w:rsidRPr="00111816">
        <w:rPr>
          <w:rFonts w:ascii="Calibri" w:hAnsi="Calibri"/>
        </w:rPr>
        <w:t xml:space="preserve">M. </w:t>
      </w:r>
      <w:r w:rsidR="003336AF" w:rsidRPr="00111816">
        <w:rPr>
          <w:rFonts w:ascii="Calibri" w:hAnsi="Calibri"/>
        </w:rPr>
        <w:t>Compliance and Fraud, Waste, and Abuse</w:t>
      </w:r>
      <w:r w:rsidR="00CC709C" w:rsidRPr="00111816">
        <w:rPr>
          <w:rFonts w:ascii="Calibri" w:hAnsi="Calibri"/>
        </w:rPr>
        <w:t xml:space="preserve"> (FWA)</w:t>
      </w:r>
      <w:r w:rsidR="00777038" w:rsidRPr="00111816">
        <w:rPr>
          <w:rFonts w:ascii="Calibri" w:hAnsi="Calibri"/>
        </w:rPr>
        <w:t xml:space="preserve"> </w:t>
      </w:r>
      <w:r w:rsidR="00885A37" w:rsidRPr="00111816">
        <w:rPr>
          <w:rFonts w:ascii="Calibri" w:hAnsi="Calibri"/>
        </w:rPr>
        <w:t>Compliance Program – Medicare Advantage Organizations and Part D Sponsors</w:t>
      </w:r>
      <w:bookmarkEnd w:id="27"/>
      <w:r w:rsidR="00777038" w:rsidRPr="00111816">
        <w:rPr>
          <w:rFonts w:ascii="Calibri" w:hAnsi="Calibri"/>
        </w:rPr>
        <w:t xml:space="preserve"> </w:t>
      </w:r>
    </w:p>
    <w:p w:rsidR="00C15C0F" w:rsidRDefault="00D50CFD" w:rsidP="004C2F0F">
      <w:pPr>
        <w:pStyle w:val="OutlineParagraph"/>
        <w:ind w:left="0"/>
      </w:pPr>
      <w:r w:rsidRPr="00F56A12">
        <w:t xml:space="preserve">Starting January 1, 2016, to comply with </w:t>
      </w:r>
      <w:r w:rsidR="00B13541">
        <w:t xml:space="preserve">compliance </w:t>
      </w:r>
      <w:r w:rsidRPr="00F56A12">
        <w:t>training requirements</w:t>
      </w:r>
      <w:r w:rsidR="00AC12B7">
        <w:t>,</w:t>
      </w:r>
      <w:r w:rsidRPr="00F56A12">
        <w:t xml:space="preserve"> sponsors must accept from FDRs </w:t>
      </w:r>
      <w:r w:rsidR="00B96C20">
        <w:t>(including the FDR’s employees)</w:t>
      </w:r>
      <w:r w:rsidR="00115C2E">
        <w:t xml:space="preserve"> </w:t>
      </w:r>
      <w:r w:rsidRPr="00F56A12">
        <w:t>certificates of completion of CMS’ training located on the Medicare Learning Network (MLN)</w:t>
      </w:r>
      <w:r w:rsidRPr="00B13541">
        <w:t>.</w:t>
      </w:r>
      <w:r>
        <w:t xml:space="preserve"> </w:t>
      </w:r>
      <w:r w:rsidR="00B96C20" w:rsidRPr="00537A1A">
        <w:t xml:space="preserve">CMS will accept either the MLN system generated certificates of completion, or, an attestation confirming that the organization has completed the appropriate compliance and FWA training. Use of the web-based training via the CMS MLN website is optional for Sponsors’ employees. </w:t>
      </w:r>
      <w:r w:rsidR="00B96C20">
        <w:t xml:space="preserve">Updated training modules will be available in November 2015.  </w:t>
      </w:r>
      <w:r>
        <w:t xml:space="preserve">(HPMS </w:t>
      </w:r>
      <w:r w:rsidR="00DA6544">
        <w:t>memo 06/17/2015</w:t>
      </w:r>
      <w:r w:rsidR="00AC12B7">
        <w:t>)</w:t>
      </w:r>
    </w:p>
    <w:sectPr w:rsidR="00C15C0F" w:rsidSect="009A5F91">
      <w:headerReference w:type="even" r:id="rId26"/>
      <w:headerReference w:type="default" r:id="rId27"/>
      <w:footerReference w:type="even" r:id="rId28"/>
      <w:footerReference w:type="default" r:id="rId29"/>
      <w:headerReference w:type="first" r:id="rId30"/>
      <w:pgSz w:w="12240" w:h="15840" w:code="1"/>
      <w:pgMar w:top="1728" w:right="1440" w:bottom="720" w:left="144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F31" w:rsidRDefault="00BA2F31">
      <w:r>
        <w:separator/>
      </w:r>
    </w:p>
  </w:endnote>
  <w:endnote w:type="continuationSeparator" w:id="0">
    <w:p w:rsidR="00BA2F31" w:rsidRDefault="00BA2F31">
      <w:r>
        <w:continuationSeparator/>
      </w:r>
    </w:p>
  </w:endnote>
  <w:endnote w:type="continuationNotice" w:id="1">
    <w:p w:rsidR="00BA2F31" w:rsidRDefault="00BA2F3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Palatino">
    <w:altName w:val="Book Antiqua"/>
    <w:panose1 w:val="02040602050305020304"/>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36C" w:rsidRDefault="00DA036C" w:rsidP="0014071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A036C" w:rsidRDefault="00DA036C" w:rsidP="0014071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0687253"/>
      <w:docPartObj>
        <w:docPartGallery w:val="Page Numbers (Bottom of Page)"/>
        <w:docPartUnique/>
      </w:docPartObj>
    </w:sdtPr>
    <w:sdtEndPr/>
    <w:sdtContent>
      <w:p w:rsidR="00DA036C" w:rsidRPr="009A5F91" w:rsidRDefault="00DA036C" w:rsidP="00376770">
        <w:pPr>
          <w:pStyle w:val="Footer"/>
          <w:jc w:val="center"/>
        </w:pPr>
        <w:r w:rsidRPr="009A5F91">
          <w:t xml:space="preserve">Page </w:t>
        </w:r>
        <w:r w:rsidRPr="009A5F91">
          <w:fldChar w:fldCharType="begin"/>
        </w:r>
        <w:r w:rsidRPr="009A5F91">
          <w:instrText xml:space="preserve"> PAGE </w:instrText>
        </w:r>
        <w:r w:rsidRPr="009A5F91">
          <w:fldChar w:fldCharType="separate"/>
        </w:r>
        <w:r w:rsidR="003C1B44">
          <w:rPr>
            <w:noProof/>
          </w:rPr>
          <w:t>1</w:t>
        </w:r>
        <w:r w:rsidRPr="009A5F91">
          <w:fldChar w:fldCharType="end"/>
        </w:r>
        <w:r w:rsidRPr="009A5F91">
          <w:t xml:space="preserve"> of </w:t>
        </w:r>
        <w:r w:rsidR="00BA2F31">
          <w:fldChar w:fldCharType="begin"/>
        </w:r>
        <w:r w:rsidR="00BA2F31">
          <w:instrText xml:space="preserve"> NUMPAGES  </w:instrText>
        </w:r>
        <w:r w:rsidR="00BA2F31">
          <w:fldChar w:fldCharType="separate"/>
        </w:r>
        <w:r w:rsidR="003C1B44">
          <w:rPr>
            <w:noProof/>
          </w:rPr>
          <w:t>1</w:t>
        </w:r>
        <w:r w:rsidR="00BA2F31">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36C" w:rsidRDefault="00DA036C" w:rsidP="0014071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A036C" w:rsidRDefault="00DA036C" w:rsidP="00140712">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85878"/>
      <w:docPartObj>
        <w:docPartGallery w:val="Page Numbers (Bottom of Page)"/>
        <w:docPartUnique/>
      </w:docPartObj>
    </w:sdtPr>
    <w:sdtEndPr/>
    <w:sdtContent>
      <w:sdt>
        <w:sdtPr>
          <w:id w:val="565050477"/>
          <w:docPartObj>
            <w:docPartGallery w:val="Page Numbers (Top of Page)"/>
            <w:docPartUnique/>
          </w:docPartObj>
        </w:sdtPr>
        <w:sdtEndPr/>
        <w:sdtContent>
          <w:p w:rsidR="00DA036C" w:rsidRPr="00012FA1" w:rsidRDefault="00DA036C" w:rsidP="00012FA1">
            <w:pPr>
              <w:pStyle w:val="Footer"/>
              <w:jc w:val="center"/>
              <w:rPr>
                <w:b/>
              </w:rPr>
            </w:pPr>
            <w:r w:rsidRPr="00012FA1">
              <w:t xml:space="preserve">Page </w:t>
            </w:r>
            <w:r w:rsidRPr="00012FA1">
              <w:fldChar w:fldCharType="begin"/>
            </w:r>
            <w:r w:rsidRPr="00012FA1">
              <w:instrText xml:space="preserve"> PAGE </w:instrText>
            </w:r>
            <w:r w:rsidRPr="00012FA1">
              <w:fldChar w:fldCharType="separate"/>
            </w:r>
            <w:r w:rsidR="003C1B44">
              <w:rPr>
                <w:noProof/>
              </w:rPr>
              <w:t>7</w:t>
            </w:r>
            <w:r w:rsidRPr="00012FA1">
              <w:fldChar w:fldCharType="end"/>
            </w:r>
            <w:r w:rsidRPr="00012FA1">
              <w:t xml:space="preserve"> of </w:t>
            </w:r>
            <w:r w:rsidR="00BA2F31">
              <w:fldChar w:fldCharType="begin"/>
            </w:r>
            <w:r w:rsidR="00BA2F31">
              <w:instrText xml:space="preserve"> NUMPAGES  </w:instrText>
            </w:r>
            <w:r w:rsidR="00BA2F31">
              <w:fldChar w:fldCharType="separate"/>
            </w:r>
            <w:r w:rsidR="003C1B44">
              <w:rPr>
                <w:noProof/>
              </w:rPr>
              <w:t>7</w:t>
            </w:r>
            <w:r w:rsidR="00BA2F31">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F31" w:rsidRDefault="00BA2F31">
      <w:r>
        <w:separator/>
      </w:r>
    </w:p>
  </w:footnote>
  <w:footnote w:type="continuationSeparator" w:id="0">
    <w:p w:rsidR="00BA2F31" w:rsidRDefault="00BA2F31">
      <w:r>
        <w:continuationSeparator/>
      </w:r>
    </w:p>
  </w:footnote>
  <w:footnote w:type="continuationNotice" w:id="1">
    <w:p w:rsidR="00BA2F31" w:rsidRDefault="00BA2F31">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36C" w:rsidRDefault="003C1B44">
    <w:pPr>
      <w:pStyle w:val="Header"/>
    </w:pPr>
    <w:r>
      <w:rPr>
        <w:noProof/>
      </w:rPr>
      <mc:AlternateContent>
        <mc:Choice Requires="wps">
          <w:drawing>
            <wp:anchor distT="0" distB="0" distL="114300" distR="114300" simplePos="0" relativeHeight="251671552" behindDoc="1" locked="0" layoutInCell="0" allowOverlap="1">
              <wp:simplePos x="0" y="0"/>
              <wp:positionH relativeFrom="margin">
                <wp:align>center</wp:align>
              </wp:positionH>
              <wp:positionV relativeFrom="margin">
                <wp:align>center</wp:align>
              </wp:positionV>
              <wp:extent cx="5985510" cy="2393950"/>
              <wp:effectExtent l="0" t="1619250" r="0" b="131127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23939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3C1B44" w:rsidRDefault="003C1B44" w:rsidP="003C1B44">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8" o:spid="_x0000_s1026" type="#_x0000_t202" style="position:absolute;margin-left:0;margin-top:0;width:471.3pt;height:188.5pt;rotation:-45;z-index:-2516449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" o:allowincell="f" filled="f" stroked="f">
              <v:stroke joinstyle="round"/>
              <o:lock v:ext="edit" shapetype="t"/>
              <v:textbox style="mso-fit-shape-to-text:t">
                <w:txbxContent>
                  <w:p w:rsidR="003C1B44" w:rsidRDefault="003C1B44" w:rsidP="003C1B44">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36C" w:rsidRDefault="003C1B44">
    <w:pPr>
      <w:pStyle w:val="Header"/>
    </w:pPr>
    <w:r>
      <w:rPr>
        <w:noProof/>
      </w:rPr>
      <mc:AlternateContent>
        <mc:Choice Requires="wps">
          <w:drawing>
            <wp:anchor distT="0" distB="0" distL="114300" distR="114300" simplePos="0" relativeHeight="251670528" behindDoc="1" locked="0" layoutInCell="0" allowOverlap="1">
              <wp:simplePos x="0" y="0"/>
              <wp:positionH relativeFrom="margin">
                <wp:align>center</wp:align>
              </wp:positionH>
              <wp:positionV relativeFrom="margin">
                <wp:align>center</wp:align>
              </wp:positionV>
              <wp:extent cx="5985510" cy="2393950"/>
              <wp:effectExtent l="0" t="1619250" r="0" b="1311275"/>
              <wp:wrapNone/>
              <wp:docPr id="3"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23939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3C1B44" w:rsidRDefault="003C1B44" w:rsidP="003C1B44">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7" o:spid="_x0000_s1027" type="#_x0000_t202" style="position:absolute;margin-left:0;margin-top:0;width:471.3pt;height:188.5pt;rotation:-45;z-index:-2516459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" o:allowincell="f" filled="f" stroked="f">
              <v:stroke joinstyle="round"/>
              <o:lock v:ext="edit" shapetype="t"/>
              <v:textbox style="mso-fit-shape-to-text:t">
                <w:txbxContent>
                  <w:p w:rsidR="003C1B44" w:rsidRDefault="003C1B44" w:rsidP="003C1B44">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36C" w:rsidRDefault="00DA036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36C" w:rsidRPr="001A28A0" w:rsidRDefault="00DA036C" w:rsidP="00FA6597">
    <w:pPr>
      <w:jc w:val="center"/>
      <w:rPr>
        <w:rFonts w:asciiTheme="minorHAnsi" w:hAnsiTheme="minorHAnsi" w:cstheme="minorHAnsi"/>
        <w:color w:val="000000" w:themeColor="text1"/>
        <w:sz w:val="28"/>
        <w:szCs w:val="28"/>
      </w:rPr>
    </w:pPr>
    <w:r w:rsidRPr="001A28A0">
      <w:rPr>
        <w:rFonts w:asciiTheme="minorHAnsi" w:hAnsiTheme="minorHAnsi" w:cstheme="minorHAnsi"/>
        <w:color w:val="000000" w:themeColor="text1"/>
        <w:sz w:val="28"/>
        <w:szCs w:val="28"/>
      </w:rPr>
      <w:t>CY 2016 Medicare Advantage Organization, Prescription Drug Plan, and Cost Plan Readiness Checklist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36C" w:rsidRDefault="00DA03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F506C9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B7CCF3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20DE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CC7A3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329CD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24EF6B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88E2860"/>
    <w:lvl w:ilvl="0">
      <w:start w:val="1"/>
      <w:numFmt w:val="bullet"/>
      <w:pStyle w:val="ListBullet3"/>
      <w:lvlText w:val=""/>
      <w:lvlJc w:val="left"/>
      <w:pPr>
        <w:tabs>
          <w:tab w:val="num" w:pos="1080"/>
        </w:tabs>
        <w:ind w:left="1080" w:hanging="360"/>
      </w:pPr>
      <w:rPr>
        <w:rFonts w:ascii="Wingdings" w:hAnsi="Wingdings" w:hint="default"/>
      </w:rPr>
    </w:lvl>
  </w:abstractNum>
  <w:abstractNum w:abstractNumId="7" w15:restartNumberingAfterBreak="0">
    <w:nsid w:val="FFFFFF83"/>
    <w:multiLevelType w:val="singleLevel"/>
    <w:tmpl w:val="7700D360"/>
    <w:lvl w:ilvl="0">
      <w:start w:val="1"/>
      <w:numFmt w:val="bullet"/>
      <w:pStyle w:val="ListBullet2"/>
      <w:lvlText w:val=""/>
      <w:lvlJc w:val="left"/>
      <w:pPr>
        <w:tabs>
          <w:tab w:val="num" w:pos="720"/>
        </w:tabs>
        <w:ind w:left="720" w:hanging="360"/>
      </w:pPr>
      <w:rPr>
        <w:rFonts w:ascii="Wingdings" w:hAnsi="Wingdings" w:hint="default"/>
      </w:rPr>
    </w:lvl>
  </w:abstractNum>
  <w:abstractNum w:abstractNumId="8" w15:restartNumberingAfterBreak="0">
    <w:nsid w:val="FFFFFF89"/>
    <w:multiLevelType w:val="singleLevel"/>
    <w:tmpl w:val="3D8C882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8490839"/>
    <w:multiLevelType w:val="hybridMultilevel"/>
    <w:tmpl w:val="53AA2B3E"/>
    <w:lvl w:ilvl="0" w:tplc="EB86F3B8">
      <w:start w:val="1"/>
      <w:numFmt w:val="bullet"/>
      <w:pStyle w:val="listbullet1"/>
      <w:lvlText w:val=""/>
      <w:lvlJc w:val="left"/>
      <w:pPr>
        <w:tabs>
          <w:tab w:val="num" w:pos="360"/>
        </w:tabs>
        <w:ind w:left="360" w:hanging="360"/>
      </w:pPr>
      <w:rPr>
        <w:rFonts w:ascii="Wingdings" w:hAnsi="Wingdings" w:hint="default"/>
      </w:rPr>
    </w:lvl>
    <w:lvl w:ilvl="1" w:tplc="7C344ED2">
      <w:start w:val="1"/>
      <w:numFmt w:val="bullet"/>
      <w:lvlText w:val=""/>
      <w:lvlJc w:val="left"/>
      <w:pPr>
        <w:tabs>
          <w:tab w:val="num" w:pos="1440"/>
        </w:tabs>
        <w:ind w:left="1440" w:hanging="360"/>
      </w:pPr>
      <w:rPr>
        <w:rFonts w:ascii="Wingdings" w:hAnsi="Wingdings" w:hint="default"/>
      </w:rPr>
    </w:lvl>
    <w:lvl w:ilvl="2" w:tplc="52448710">
      <w:start w:val="1"/>
      <w:numFmt w:val="bullet"/>
      <w:pStyle w:val="listbullet1"/>
      <w:lvlText w:val=""/>
      <w:lvlJc w:val="left"/>
      <w:pPr>
        <w:tabs>
          <w:tab w:val="num" w:pos="2340"/>
        </w:tabs>
        <w:ind w:left="2340" w:hanging="360"/>
      </w:pPr>
      <w:rPr>
        <w:rFonts w:ascii="Wingdings" w:hAnsi="Wingdings" w:hint="default"/>
      </w:rPr>
    </w:lvl>
    <w:lvl w:ilvl="3" w:tplc="F976BD0C">
      <w:start w:val="1"/>
      <w:numFmt w:val="bullet"/>
      <w:lvlText w:val=""/>
      <w:lvlJc w:val="left"/>
      <w:pPr>
        <w:tabs>
          <w:tab w:val="num" w:pos="2880"/>
        </w:tabs>
        <w:ind w:left="2880" w:hanging="360"/>
      </w:pPr>
      <w:rPr>
        <w:rFonts w:ascii="Symbol" w:hAnsi="Symbol" w:hint="default"/>
      </w:rPr>
    </w:lvl>
    <w:lvl w:ilvl="4" w:tplc="164A5586">
      <w:start w:val="1"/>
      <w:numFmt w:val="bullet"/>
      <w:lvlText w:val=""/>
      <w:lvlJc w:val="left"/>
      <w:pPr>
        <w:tabs>
          <w:tab w:val="num" w:pos="3600"/>
        </w:tabs>
        <w:ind w:left="3600" w:hanging="360"/>
      </w:pPr>
      <w:rPr>
        <w:rFonts w:ascii="Wingdings" w:hAnsi="Wingdings" w:hint="default"/>
      </w:rPr>
    </w:lvl>
    <w:lvl w:ilvl="5" w:tplc="5B0442DC" w:tentative="1">
      <w:start w:val="1"/>
      <w:numFmt w:val="lowerRoman"/>
      <w:lvlText w:val="%6."/>
      <w:lvlJc w:val="right"/>
      <w:pPr>
        <w:tabs>
          <w:tab w:val="num" w:pos="4320"/>
        </w:tabs>
        <w:ind w:left="4320" w:hanging="180"/>
      </w:pPr>
    </w:lvl>
    <w:lvl w:ilvl="6" w:tplc="870C70E8" w:tentative="1">
      <w:start w:val="1"/>
      <w:numFmt w:val="decimal"/>
      <w:lvlText w:val="%7."/>
      <w:lvlJc w:val="left"/>
      <w:pPr>
        <w:tabs>
          <w:tab w:val="num" w:pos="5040"/>
        </w:tabs>
        <w:ind w:left="5040" w:hanging="360"/>
      </w:pPr>
    </w:lvl>
    <w:lvl w:ilvl="7" w:tplc="FE5C9E14" w:tentative="1">
      <w:start w:val="1"/>
      <w:numFmt w:val="lowerLetter"/>
      <w:lvlText w:val="%8."/>
      <w:lvlJc w:val="left"/>
      <w:pPr>
        <w:tabs>
          <w:tab w:val="num" w:pos="5760"/>
        </w:tabs>
        <w:ind w:left="5760" w:hanging="360"/>
      </w:pPr>
    </w:lvl>
    <w:lvl w:ilvl="8" w:tplc="CD00329E" w:tentative="1">
      <w:start w:val="1"/>
      <w:numFmt w:val="lowerRoman"/>
      <w:lvlText w:val="%9."/>
      <w:lvlJc w:val="right"/>
      <w:pPr>
        <w:tabs>
          <w:tab w:val="num" w:pos="6480"/>
        </w:tabs>
        <w:ind w:left="6480" w:hanging="180"/>
      </w:pPr>
    </w:lvl>
  </w:abstractNum>
  <w:abstractNum w:abstractNumId="10" w15:restartNumberingAfterBreak="0">
    <w:nsid w:val="0D3733FC"/>
    <w:multiLevelType w:val="hybridMultilevel"/>
    <w:tmpl w:val="9A46DCA8"/>
    <w:lvl w:ilvl="0" w:tplc="D534D30E">
      <w:start w:val="1"/>
      <w:numFmt w:val="lowerLetter"/>
      <w:pStyle w:val="Outline4"/>
      <w:lvlText w:val="%1."/>
      <w:lvlJc w:val="lef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0DF05607"/>
    <w:multiLevelType w:val="multilevel"/>
    <w:tmpl w:val="9F946B0E"/>
    <w:styleLink w:val="111111"/>
    <w:lvl w:ilvl="0">
      <w:start w:val="1"/>
      <w:numFmt w:val="decimal"/>
      <w:pStyle w:val="Heading4"/>
      <w:lvlText w:val="%1."/>
      <w:lvlJc w:val="left"/>
      <w:pPr>
        <w:tabs>
          <w:tab w:val="num" w:pos="360"/>
        </w:tabs>
        <w:ind w:left="360" w:hanging="360"/>
      </w:pPr>
    </w:lvl>
    <w:lvl w:ilvl="1">
      <w:start w:val="1"/>
      <w:numFmt w:val="decimal"/>
      <w:pStyle w:val="Heading5"/>
      <w:lvlText w:val="%1.%2."/>
      <w:lvlJc w:val="left"/>
      <w:pPr>
        <w:tabs>
          <w:tab w:val="num" w:pos="1332"/>
        </w:tabs>
        <w:ind w:left="1332" w:hanging="432"/>
      </w:pPr>
    </w:lvl>
    <w:lvl w:ilvl="2">
      <w:start w:val="1"/>
      <w:numFmt w:val="decimal"/>
      <w:pStyle w:val="Heading6"/>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0F10081E"/>
    <w:multiLevelType w:val="hybridMultilevel"/>
    <w:tmpl w:val="3B3E2C3E"/>
    <w:lvl w:ilvl="0" w:tplc="949CD3A4">
      <w:start w:val="1"/>
      <w:numFmt w:val="bullet"/>
      <w:pStyle w:val="ReadinessBullett1"/>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D2551AE"/>
    <w:multiLevelType w:val="multilevel"/>
    <w:tmpl w:val="9F946B0E"/>
    <w:numStyleLink w:val="111111"/>
  </w:abstractNum>
  <w:abstractNum w:abstractNumId="14" w15:restartNumberingAfterBreak="0">
    <w:nsid w:val="3CB23C56"/>
    <w:multiLevelType w:val="hybridMultilevel"/>
    <w:tmpl w:val="D44AA934"/>
    <w:lvl w:ilvl="0" w:tplc="C2C462AC">
      <w:start w:val="1"/>
      <w:numFmt w:val="bullet"/>
      <w:pStyle w:val="Outline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8022697"/>
    <w:multiLevelType w:val="multilevel"/>
    <w:tmpl w:val="297A75BA"/>
    <w:lvl w:ilvl="0">
      <w:start w:val="1"/>
      <w:numFmt w:val="upperRoman"/>
      <w:pStyle w:val="Outline1"/>
      <w:lvlText w:val="%1."/>
      <w:lvlJc w:val="left"/>
      <w:pPr>
        <w:ind w:left="360" w:hanging="360"/>
      </w:pPr>
      <w:rPr>
        <w:rFonts w:hint="default"/>
      </w:rPr>
    </w:lvl>
    <w:lvl w:ilvl="1">
      <w:start w:val="1"/>
      <w:numFmt w:val="upperLetter"/>
      <w:lvlText w:val="%2."/>
      <w:lvlJc w:val="left"/>
      <w:pPr>
        <w:ind w:left="720" w:firstLine="0"/>
      </w:pPr>
      <w:rPr>
        <w:rFonts w:hint="default"/>
        <w:b/>
      </w:rPr>
    </w:lvl>
    <w:lvl w:ilvl="2">
      <w:start w:val="1"/>
      <w:numFmt w:val="decimal"/>
      <w:lvlText w:val="%3."/>
      <w:lvlJc w:val="left"/>
      <w:pPr>
        <w:ind w:left="1440" w:firstLine="0"/>
      </w:pPr>
      <w:rPr>
        <w:rFonts w:hint="default"/>
        <w:b/>
        <w:i w:val="0"/>
        <w:color w:val="000000" w:themeColor="text1"/>
      </w:rPr>
    </w:lvl>
    <w:lvl w:ilvl="3">
      <w:start w:val="1"/>
      <w:numFmt w:val="lowerLetter"/>
      <w:lvlText w:val="%4)"/>
      <w:lvlJc w:val="left"/>
      <w:pPr>
        <w:ind w:left="2160" w:firstLine="0"/>
      </w:pPr>
      <w:rPr>
        <w:rFonts w:hint="default"/>
        <w:b/>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6" w15:restartNumberingAfterBreak="0">
    <w:nsid w:val="4C785E16"/>
    <w:multiLevelType w:val="hybridMultilevel"/>
    <w:tmpl w:val="7C80A8F6"/>
    <w:lvl w:ilvl="0" w:tplc="CE2E6F58">
      <w:start w:val="1"/>
      <w:numFmt w:val="bullet"/>
      <w:pStyle w:val="colbullet"/>
      <w:lvlText w:val=""/>
      <w:lvlJc w:val="left"/>
      <w:pPr>
        <w:tabs>
          <w:tab w:val="num" w:pos="259"/>
        </w:tabs>
        <w:ind w:left="259" w:hanging="259"/>
      </w:pPr>
      <w:rPr>
        <w:rFonts w:ascii="Wingdings" w:hAnsi="Wingdings" w:cs="Times New Roman" w:hint="default"/>
      </w:rPr>
    </w:lvl>
    <w:lvl w:ilvl="1" w:tplc="17C2AE22">
      <w:start w:val="1"/>
      <w:numFmt w:val="decimal"/>
      <w:lvlText w:val="%2."/>
      <w:lvlJc w:val="left"/>
      <w:pPr>
        <w:tabs>
          <w:tab w:val="num" w:pos="1440"/>
        </w:tabs>
        <w:ind w:left="1440" w:hanging="360"/>
      </w:pPr>
    </w:lvl>
    <w:lvl w:ilvl="2" w:tplc="E91C65CA">
      <w:start w:val="1"/>
      <w:numFmt w:val="decimal"/>
      <w:lvlText w:val="%3."/>
      <w:lvlJc w:val="left"/>
      <w:pPr>
        <w:tabs>
          <w:tab w:val="num" w:pos="2160"/>
        </w:tabs>
        <w:ind w:left="2160" w:hanging="360"/>
      </w:pPr>
    </w:lvl>
    <w:lvl w:ilvl="3" w:tplc="5E30F48C">
      <w:start w:val="1"/>
      <w:numFmt w:val="decimal"/>
      <w:lvlText w:val="%4."/>
      <w:lvlJc w:val="left"/>
      <w:pPr>
        <w:tabs>
          <w:tab w:val="num" w:pos="2880"/>
        </w:tabs>
        <w:ind w:left="2880" w:hanging="360"/>
      </w:pPr>
    </w:lvl>
    <w:lvl w:ilvl="4" w:tplc="22B4C250">
      <w:start w:val="1"/>
      <w:numFmt w:val="decimal"/>
      <w:lvlText w:val="%5."/>
      <w:lvlJc w:val="left"/>
      <w:pPr>
        <w:tabs>
          <w:tab w:val="num" w:pos="3600"/>
        </w:tabs>
        <w:ind w:left="3600" w:hanging="360"/>
      </w:pPr>
    </w:lvl>
    <w:lvl w:ilvl="5" w:tplc="09A6647E">
      <w:start w:val="1"/>
      <w:numFmt w:val="decimal"/>
      <w:lvlText w:val="%6."/>
      <w:lvlJc w:val="left"/>
      <w:pPr>
        <w:tabs>
          <w:tab w:val="num" w:pos="4320"/>
        </w:tabs>
        <w:ind w:left="4320" w:hanging="360"/>
      </w:pPr>
    </w:lvl>
    <w:lvl w:ilvl="6" w:tplc="8E76C7DA">
      <w:start w:val="1"/>
      <w:numFmt w:val="decimal"/>
      <w:lvlText w:val="%7."/>
      <w:lvlJc w:val="left"/>
      <w:pPr>
        <w:tabs>
          <w:tab w:val="num" w:pos="5040"/>
        </w:tabs>
        <w:ind w:left="5040" w:hanging="360"/>
      </w:pPr>
    </w:lvl>
    <w:lvl w:ilvl="7" w:tplc="7B165CDC">
      <w:start w:val="1"/>
      <w:numFmt w:val="decimal"/>
      <w:lvlText w:val="%8."/>
      <w:lvlJc w:val="left"/>
      <w:pPr>
        <w:tabs>
          <w:tab w:val="num" w:pos="5760"/>
        </w:tabs>
        <w:ind w:left="5760" w:hanging="360"/>
      </w:pPr>
    </w:lvl>
    <w:lvl w:ilvl="8" w:tplc="DA80EDCA">
      <w:start w:val="1"/>
      <w:numFmt w:val="decimal"/>
      <w:lvlText w:val="%9."/>
      <w:lvlJc w:val="left"/>
      <w:pPr>
        <w:tabs>
          <w:tab w:val="num" w:pos="6480"/>
        </w:tabs>
        <w:ind w:left="6480" w:hanging="360"/>
      </w:pPr>
    </w:lvl>
  </w:abstractNum>
  <w:abstractNum w:abstractNumId="17" w15:restartNumberingAfterBreak="0">
    <w:nsid w:val="63CA0430"/>
    <w:multiLevelType w:val="multilevel"/>
    <w:tmpl w:val="B40CA676"/>
    <w:lvl w:ilvl="0">
      <w:start w:val="1"/>
      <w:numFmt w:val="upperRoman"/>
      <w:lvlText w:val="%1."/>
      <w:lvlJc w:val="left"/>
      <w:pPr>
        <w:ind w:left="0" w:firstLine="0"/>
      </w:pPr>
      <w:rPr>
        <w:rFonts w:hint="default"/>
      </w:rPr>
    </w:lvl>
    <w:lvl w:ilvl="1">
      <w:start w:val="1"/>
      <w:numFmt w:val="bullet"/>
      <w:lvlText w:val=""/>
      <w:lvlJc w:val="left"/>
      <w:pPr>
        <w:ind w:left="720" w:firstLine="0"/>
      </w:pPr>
      <w:rPr>
        <w:rFonts w:ascii="Symbol" w:hAnsi="Symbol" w:hint="default"/>
        <w:b/>
      </w:rPr>
    </w:lvl>
    <w:lvl w:ilvl="2">
      <w:start w:val="1"/>
      <w:numFmt w:val="bullet"/>
      <w:lvlText w:val=""/>
      <w:lvlJc w:val="left"/>
      <w:pPr>
        <w:ind w:left="1440" w:firstLine="0"/>
      </w:pPr>
      <w:rPr>
        <w:rFonts w:ascii="Symbol" w:hAnsi="Symbol" w:hint="default"/>
        <w:b/>
        <w:i w:val="0"/>
        <w:color w:val="000000" w:themeColor="text1"/>
      </w:rPr>
    </w:lvl>
    <w:lvl w:ilvl="3">
      <w:start w:val="1"/>
      <w:numFmt w:val="bullet"/>
      <w:lvlText w:val=""/>
      <w:lvlJc w:val="left"/>
      <w:pPr>
        <w:ind w:left="2160" w:firstLine="0"/>
      </w:pPr>
      <w:rPr>
        <w:rFonts w:ascii="Symbol" w:hAnsi="Symbol" w:hint="default"/>
        <w:b/>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8" w15:restartNumberingAfterBreak="0">
    <w:nsid w:val="78970CF1"/>
    <w:multiLevelType w:val="hybridMultilevel"/>
    <w:tmpl w:val="72F23F9C"/>
    <w:lvl w:ilvl="0" w:tplc="04090001">
      <w:start w:val="1"/>
      <w:numFmt w:val="bullet"/>
      <w:lvlText w:val=""/>
      <w:lvlJc w:val="left"/>
      <w:pPr>
        <w:ind w:left="1080" w:hanging="360"/>
      </w:pPr>
      <w:rPr>
        <w:rFonts w:ascii="Symbol" w:hAnsi="Symbol" w:hint="default"/>
      </w:rPr>
    </w:lvl>
    <w:lvl w:ilvl="1" w:tplc="C2CCADB0">
      <w:start w:val="1"/>
      <w:numFmt w:val="bullet"/>
      <w:pStyle w:val="ReadinessBullett2"/>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7"/>
  </w:num>
  <w:num w:numId="3">
    <w:abstractNumId w:val="6"/>
  </w:num>
  <w:num w:numId="4">
    <w:abstractNumId w:val="11"/>
  </w:num>
  <w:num w:numId="5">
    <w:abstractNumId w:val="5"/>
  </w:num>
  <w:num w:numId="6">
    <w:abstractNumId w:val="13"/>
  </w:num>
  <w:num w:numId="7">
    <w:abstractNumId w:val="4"/>
  </w:num>
  <w:num w:numId="8">
    <w:abstractNumId w:val="3"/>
  </w:num>
  <w:num w:numId="9">
    <w:abstractNumId w:val="9"/>
  </w:num>
  <w:num w:numId="10">
    <w:abstractNumId w:val="16"/>
  </w:num>
  <w:num w:numId="11">
    <w:abstractNumId w:val="15"/>
  </w:num>
  <w:num w:numId="12">
    <w:abstractNumId w:val="10"/>
  </w:num>
  <w:num w:numId="13">
    <w:abstractNumId w:val="12"/>
  </w:num>
  <w:num w:numId="14">
    <w:abstractNumId w:val="14"/>
  </w:num>
  <w:num w:numId="15">
    <w:abstractNumId w:val="17"/>
  </w:num>
  <w:num w:numId="16">
    <w:abstractNumId w:val="1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EEA"/>
    <w:rsid w:val="00001E81"/>
    <w:rsid w:val="000040F3"/>
    <w:rsid w:val="00004E9D"/>
    <w:rsid w:val="000059D2"/>
    <w:rsid w:val="00006558"/>
    <w:rsid w:val="0000705B"/>
    <w:rsid w:val="000115B0"/>
    <w:rsid w:val="000125F4"/>
    <w:rsid w:val="00012FA1"/>
    <w:rsid w:val="0001489F"/>
    <w:rsid w:val="00015BE5"/>
    <w:rsid w:val="00016325"/>
    <w:rsid w:val="000166FD"/>
    <w:rsid w:val="00016E0E"/>
    <w:rsid w:val="0002052B"/>
    <w:rsid w:val="0002053D"/>
    <w:rsid w:val="00020607"/>
    <w:rsid w:val="00022BD0"/>
    <w:rsid w:val="00022E2D"/>
    <w:rsid w:val="000233F2"/>
    <w:rsid w:val="000245D7"/>
    <w:rsid w:val="00026C68"/>
    <w:rsid w:val="000312F3"/>
    <w:rsid w:val="00032FE9"/>
    <w:rsid w:val="0003677B"/>
    <w:rsid w:val="00037299"/>
    <w:rsid w:val="00041FDE"/>
    <w:rsid w:val="00042F42"/>
    <w:rsid w:val="00051A51"/>
    <w:rsid w:val="00052E3B"/>
    <w:rsid w:val="000538CD"/>
    <w:rsid w:val="00053A33"/>
    <w:rsid w:val="0005586B"/>
    <w:rsid w:val="00055C71"/>
    <w:rsid w:val="00055CB8"/>
    <w:rsid w:val="000571E8"/>
    <w:rsid w:val="00057F82"/>
    <w:rsid w:val="00057FC4"/>
    <w:rsid w:val="00060550"/>
    <w:rsid w:val="000611DE"/>
    <w:rsid w:val="00061B87"/>
    <w:rsid w:val="00061DDD"/>
    <w:rsid w:val="00062EA6"/>
    <w:rsid w:val="00062FD2"/>
    <w:rsid w:val="00065315"/>
    <w:rsid w:val="00065B5B"/>
    <w:rsid w:val="00067BA9"/>
    <w:rsid w:val="00070887"/>
    <w:rsid w:val="00071E33"/>
    <w:rsid w:val="00072E3E"/>
    <w:rsid w:val="00073FD1"/>
    <w:rsid w:val="00074880"/>
    <w:rsid w:val="00074DDA"/>
    <w:rsid w:val="00075D02"/>
    <w:rsid w:val="0007706D"/>
    <w:rsid w:val="0007750F"/>
    <w:rsid w:val="00077FCA"/>
    <w:rsid w:val="000802CA"/>
    <w:rsid w:val="00083CF1"/>
    <w:rsid w:val="00085663"/>
    <w:rsid w:val="00086B82"/>
    <w:rsid w:val="0009201D"/>
    <w:rsid w:val="000920ED"/>
    <w:rsid w:val="000950C2"/>
    <w:rsid w:val="00095CD7"/>
    <w:rsid w:val="000965B7"/>
    <w:rsid w:val="00096949"/>
    <w:rsid w:val="000A45F2"/>
    <w:rsid w:val="000A702F"/>
    <w:rsid w:val="000A71F8"/>
    <w:rsid w:val="000A7413"/>
    <w:rsid w:val="000A7E11"/>
    <w:rsid w:val="000B076F"/>
    <w:rsid w:val="000B0DC4"/>
    <w:rsid w:val="000B2A33"/>
    <w:rsid w:val="000B4965"/>
    <w:rsid w:val="000B4CEE"/>
    <w:rsid w:val="000B665C"/>
    <w:rsid w:val="000B6E99"/>
    <w:rsid w:val="000B78BA"/>
    <w:rsid w:val="000C0270"/>
    <w:rsid w:val="000C0E48"/>
    <w:rsid w:val="000C1F07"/>
    <w:rsid w:val="000C1F72"/>
    <w:rsid w:val="000C2F8C"/>
    <w:rsid w:val="000C35B4"/>
    <w:rsid w:val="000C394D"/>
    <w:rsid w:val="000C438F"/>
    <w:rsid w:val="000C4A35"/>
    <w:rsid w:val="000C63B3"/>
    <w:rsid w:val="000C6E03"/>
    <w:rsid w:val="000C6EAB"/>
    <w:rsid w:val="000C7061"/>
    <w:rsid w:val="000C7207"/>
    <w:rsid w:val="000C7773"/>
    <w:rsid w:val="000C7E6A"/>
    <w:rsid w:val="000D1266"/>
    <w:rsid w:val="000D1480"/>
    <w:rsid w:val="000D15DA"/>
    <w:rsid w:val="000D1882"/>
    <w:rsid w:val="000D3811"/>
    <w:rsid w:val="000D56D5"/>
    <w:rsid w:val="000D604C"/>
    <w:rsid w:val="000E1559"/>
    <w:rsid w:val="000E1E9D"/>
    <w:rsid w:val="000E2C86"/>
    <w:rsid w:val="000E3BBC"/>
    <w:rsid w:val="000E4FAD"/>
    <w:rsid w:val="000E67E3"/>
    <w:rsid w:val="000E793C"/>
    <w:rsid w:val="000F05DF"/>
    <w:rsid w:val="000F17E3"/>
    <w:rsid w:val="000F42C9"/>
    <w:rsid w:val="000F433C"/>
    <w:rsid w:val="000F4CB5"/>
    <w:rsid w:val="000F5B03"/>
    <w:rsid w:val="000F679E"/>
    <w:rsid w:val="00100E90"/>
    <w:rsid w:val="00101E34"/>
    <w:rsid w:val="00102A81"/>
    <w:rsid w:val="00104296"/>
    <w:rsid w:val="00104361"/>
    <w:rsid w:val="00104808"/>
    <w:rsid w:val="00104F2F"/>
    <w:rsid w:val="00105048"/>
    <w:rsid w:val="001073D6"/>
    <w:rsid w:val="001107D5"/>
    <w:rsid w:val="00111816"/>
    <w:rsid w:val="00115798"/>
    <w:rsid w:val="00115C2E"/>
    <w:rsid w:val="00116882"/>
    <w:rsid w:val="00116B6B"/>
    <w:rsid w:val="00117C01"/>
    <w:rsid w:val="001204D8"/>
    <w:rsid w:val="00120DE4"/>
    <w:rsid w:val="001210AB"/>
    <w:rsid w:val="00121FE6"/>
    <w:rsid w:val="00123A0F"/>
    <w:rsid w:val="00123CDE"/>
    <w:rsid w:val="00124568"/>
    <w:rsid w:val="001249A4"/>
    <w:rsid w:val="0012681C"/>
    <w:rsid w:val="001321A4"/>
    <w:rsid w:val="00134E82"/>
    <w:rsid w:val="00136AE3"/>
    <w:rsid w:val="0014031E"/>
    <w:rsid w:val="00140712"/>
    <w:rsid w:val="00140E03"/>
    <w:rsid w:val="0014280B"/>
    <w:rsid w:val="00144577"/>
    <w:rsid w:val="00144CDF"/>
    <w:rsid w:val="001468C5"/>
    <w:rsid w:val="00147162"/>
    <w:rsid w:val="00147986"/>
    <w:rsid w:val="00151B8A"/>
    <w:rsid w:val="00151F5E"/>
    <w:rsid w:val="00154404"/>
    <w:rsid w:val="00154971"/>
    <w:rsid w:val="001553FD"/>
    <w:rsid w:val="00156174"/>
    <w:rsid w:val="001566DF"/>
    <w:rsid w:val="00160383"/>
    <w:rsid w:val="00160E14"/>
    <w:rsid w:val="00160F39"/>
    <w:rsid w:val="0016151C"/>
    <w:rsid w:val="001631BB"/>
    <w:rsid w:val="001649D6"/>
    <w:rsid w:val="001660C4"/>
    <w:rsid w:val="0016647E"/>
    <w:rsid w:val="00167486"/>
    <w:rsid w:val="001719E4"/>
    <w:rsid w:val="00173391"/>
    <w:rsid w:val="00173B64"/>
    <w:rsid w:val="00173C32"/>
    <w:rsid w:val="00175019"/>
    <w:rsid w:val="001759DC"/>
    <w:rsid w:val="00180CD7"/>
    <w:rsid w:val="0018151E"/>
    <w:rsid w:val="001827F5"/>
    <w:rsid w:val="00184BC4"/>
    <w:rsid w:val="00185A07"/>
    <w:rsid w:val="0018762B"/>
    <w:rsid w:val="00190EF9"/>
    <w:rsid w:val="00190FAB"/>
    <w:rsid w:val="001933F6"/>
    <w:rsid w:val="001946CC"/>
    <w:rsid w:val="0019554E"/>
    <w:rsid w:val="001974A5"/>
    <w:rsid w:val="001A0022"/>
    <w:rsid w:val="001A17A2"/>
    <w:rsid w:val="001A1E9E"/>
    <w:rsid w:val="001A28A0"/>
    <w:rsid w:val="001A2D39"/>
    <w:rsid w:val="001A38C0"/>
    <w:rsid w:val="001A3A75"/>
    <w:rsid w:val="001A4185"/>
    <w:rsid w:val="001A4C43"/>
    <w:rsid w:val="001A512C"/>
    <w:rsid w:val="001B20F7"/>
    <w:rsid w:val="001B35B4"/>
    <w:rsid w:val="001B4954"/>
    <w:rsid w:val="001B5075"/>
    <w:rsid w:val="001B6FDA"/>
    <w:rsid w:val="001B7737"/>
    <w:rsid w:val="001C2131"/>
    <w:rsid w:val="001C2C65"/>
    <w:rsid w:val="001C34C8"/>
    <w:rsid w:val="001C3A3B"/>
    <w:rsid w:val="001C5E5B"/>
    <w:rsid w:val="001C6512"/>
    <w:rsid w:val="001D07D8"/>
    <w:rsid w:val="001D323C"/>
    <w:rsid w:val="001D630A"/>
    <w:rsid w:val="001D637F"/>
    <w:rsid w:val="001D7DCB"/>
    <w:rsid w:val="001E03A7"/>
    <w:rsid w:val="001E3205"/>
    <w:rsid w:val="001E3D64"/>
    <w:rsid w:val="001E553A"/>
    <w:rsid w:val="001E751F"/>
    <w:rsid w:val="001F3C59"/>
    <w:rsid w:val="001F4271"/>
    <w:rsid w:val="001F62B9"/>
    <w:rsid w:val="001F6AD9"/>
    <w:rsid w:val="001F711C"/>
    <w:rsid w:val="00201551"/>
    <w:rsid w:val="002031D8"/>
    <w:rsid w:val="00204F31"/>
    <w:rsid w:val="00211035"/>
    <w:rsid w:val="00211F46"/>
    <w:rsid w:val="00212ADF"/>
    <w:rsid w:val="0021393E"/>
    <w:rsid w:val="00213C70"/>
    <w:rsid w:val="00214148"/>
    <w:rsid w:val="00214507"/>
    <w:rsid w:val="00214A5D"/>
    <w:rsid w:val="002156EB"/>
    <w:rsid w:val="00216808"/>
    <w:rsid w:val="0021681A"/>
    <w:rsid w:val="00216A9C"/>
    <w:rsid w:val="00216B32"/>
    <w:rsid w:val="00217FF6"/>
    <w:rsid w:val="002210EB"/>
    <w:rsid w:val="00223C5C"/>
    <w:rsid w:val="00223FC7"/>
    <w:rsid w:val="00225614"/>
    <w:rsid w:val="00226665"/>
    <w:rsid w:val="00230598"/>
    <w:rsid w:val="002314F1"/>
    <w:rsid w:val="00231D36"/>
    <w:rsid w:val="00233477"/>
    <w:rsid w:val="00233539"/>
    <w:rsid w:val="002337BA"/>
    <w:rsid w:val="00235218"/>
    <w:rsid w:val="002371E9"/>
    <w:rsid w:val="0024343A"/>
    <w:rsid w:val="00243AD3"/>
    <w:rsid w:val="00244890"/>
    <w:rsid w:val="002448C0"/>
    <w:rsid w:val="00246734"/>
    <w:rsid w:val="002502FB"/>
    <w:rsid w:val="002503E0"/>
    <w:rsid w:val="00251DB7"/>
    <w:rsid w:val="00251FE5"/>
    <w:rsid w:val="00251FF1"/>
    <w:rsid w:val="002528B5"/>
    <w:rsid w:val="00255D16"/>
    <w:rsid w:val="00256B16"/>
    <w:rsid w:val="002576AC"/>
    <w:rsid w:val="00257758"/>
    <w:rsid w:val="0025791C"/>
    <w:rsid w:val="002659D8"/>
    <w:rsid w:val="00266C6B"/>
    <w:rsid w:val="00270BE1"/>
    <w:rsid w:val="0027487C"/>
    <w:rsid w:val="00281C6D"/>
    <w:rsid w:val="002822D4"/>
    <w:rsid w:val="00282A5F"/>
    <w:rsid w:val="00283119"/>
    <w:rsid w:val="00285CCB"/>
    <w:rsid w:val="00291350"/>
    <w:rsid w:val="00295958"/>
    <w:rsid w:val="00296A43"/>
    <w:rsid w:val="00296DE7"/>
    <w:rsid w:val="002971D0"/>
    <w:rsid w:val="002972B6"/>
    <w:rsid w:val="002A05E8"/>
    <w:rsid w:val="002A08E1"/>
    <w:rsid w:val="002A0B40"/>
    <w:rsid w:val="002A23FB"/>
    <w:rsid w:val="002A5436"/>
    <w:rsid w:val="002B0149"/>
    <w:rsid w:val="002B0E19"/>
    <w:rsid w:val="002B0F01"/>
    <w:rsid w:val="002B191A"/>
    <w:rsid w:val="002B3B3B"/>
    <w:rsid w:val="002B547C"/>
    <w:rsid w:val="002B63C0"/>
    <w:rsid w:val="002B76B7"/>
    <w:rsid w:val="002C0FE1"/>
    <w:rsid w:val="002C0FFC"/>
    <w:rsid w:val="002C10E3"/>
    <w:rsid w:val="002C2407"/>
    <w:rsid w:val="002C39F8"/>
    <w:rsid w:val="002C42C2"/>
    <w:rsid w:val="002C566A"/>
    <w:rsid w:val="002C6432"/>
    <w:rsid w:val="002C7D5D"/>
    <w:rsid w:val="002C7DD7"/>
    <w:rsid w:val="002D0C76"/>
    <w:rsid w:val="002D1824"/>
    <w:rsid w:val="002D260C"/>
    <w:rsid w:val="002D2764"/>
    <w:rsid w:val="002D4EBC"/>
    <w:rsid w:val="002D6A36"/>
    <w:rsid w:val="002D7C34"/>
    <w:rsid w:val="002E1825"/>
    <w:rsid w:val="002E3F90"/>
    <w:rsid w:val="002E4C75"/>
    <w:rsid w:val="002E50E0"/>
    <w:rsid w:val="002E56A9"/>
    <w:rsid w:val="002E77FF"/>
    <w:rsid w:val="002F0B82"/>
    <w:rsid w:val="002F1189"/>
    <w:rsid w:val="002F1946"/>
    <w:rsid w:val="002F33CB"/>
    <w:rsid w:val="002F41D5"/>
    <w:rsid w:val="002F48DB"/>
    <w:rsid w:val="002F7FFE"/>
    <w:rsid w:val="00300976"/>
    <w:rsid w:val="003011DC"/>
    <w:rsid w:val="0030124F"/>
    <w:rsid w:val="00302E45"/>
    <w:rsid w:val="00303137"/>
    <w:rsid w:val="003034C3"/>
    <w:rsid w:val="0030358D"/>
    <w:rsid w:val="00303CB1"/>
    <w:rsid w:val="0030634A"/>
    <w:rsid w:val="003152FA"/>
    <w:rsid w:val="003162DD"/>
    <w:rsid w:val="003168BA"/>
    <w:rsid w:val="003175E9"/>
    <w:rsid w:val="00317A8B"/>
    <w:rsid w:val="00320454"/>
    <w:rsid w:val="00321222"/>
    <w:rsid w:val="00323526"/>
    <w:rsid w:val="0032535D"/>
    <w:rsid w:val="00326733"/>
    <w:rsid w:val="00330A15"/>
    <w:rsid w:val="00331D3A"/>
    <w:rsid w:val="00332AFB"/>
    <w:rsid w:val="00332FF4"/>
    <w:rsid w:val="003336AF"/>
    <w:rsid w:val="003351CA"/>
    <w:rsid w:val="00335CE7"/>
    <w:rsid w:val="0033619B"/>
    <w:rsid w:val="00336837"/>
    <w:rsid w:val="003413B3"/>
    <w:rsid w:val="003461EB"/>
    <w:rsid w:val="0034623D"/>
    <w:rsid w:val="003465BB"/>
    <w:rsid w:val="00346BB3"/>
    <w:rsid w:val="00346CB6"/>
    <w:rsid w:val="00347448"/>
    <w:rsid w:val="003501E2"/>
    <w:rsid w:val="003509BB"/>
    <w:rsid w:val="00354EE2"/>
    <w:rsid w:val="003560D4"/>
    <w:rsid w:val="003566AC"/>
    <w:rsid w:val="00357948"/>
    <w:rsid w:val="0036168D"/>
    <w:rsid w:val="003618B3"/>
    <w:rsid w:val="00361B27"/>
    <w:rsid w:val="0036310D"/>
    <w:rsid w:val="00363CF2"/>
    <w:rsid w:val="00364A49"/>
    <w:rsid w:val="00367C62"/>
    <w:rsid w:val="00370A84"/>
    <w:rsid w:val="00371BC2"/>
    <w:rsid w:val="00374341"/>
    <w:rsid w:val="00376770"/>
    <w:rsid w:val="0038291C"/>
    <w:rsid w:val="00385117"/>
    <w:rsid w:val="00385AFE"/>
    <w:rsid w:val="00385D22"/>
    <w:rsid w:val="00386E68"/>
    <w:rsid w:val="0038793B"/>
    <w:rsid w:val="00390577"/>
    <w:rsid w:val="00391118"/>
    <w:rsid w:val="00391FA0"/>
    <w:rsid w:val="00392241"/>
    <w:rsid w:val="00392FAB"/>
    <w:rsid w:val="00393051"/>
    <w:rsid w:val="003932F9"/>
    <w:rsid w:val="00393AEB"/>
    <w:rsid w:val="00394892"/>
    <w:rsid w:val="00395801"/>
    <w:rsid w:val="00395980"/>
    <w:rsid w:val="00395EF3"/>
    <w:rsid w:val="003A0085"/>
    <w:rsid w:val="003A27EC"/>
    <w:rsid w:val="003A3921"/>
    <w:rsid w:val="003A5469"/>
    <w:rsid w:val="003B0536"/>
    <w:rsid w:val="003B1011"/>
    <w:rsid w:val="003B1291"/>
    <w:rsid w:val="003B2432"/>
    <w:rsid w:val="003B2D1D"/>
    <w:rsid w:val="003B367B"/>
    <w:rsid w:val="003B7FDF"/>
    <w:rsid w:val="003C10A7"/>
    <w:rsid w:val="003C1B44"/>
    <w:rsid w:val="003C2CBC"/>
    <w:rsid w:val="003C407F"/>
    <w:rsid w:val="003C686E"/>
    <w:rsid w:val="003C7C22"/>
    <w:rsid w:val="003D0BFC"/>
    <w:rsid w:val="003D0F77"/>
    <w:rsid w:val="003D2102"/>
    <w:rsid w:val="003D3613"/>
    <w:rsid w:val="003D371A"/>
    <w:rsid w:val="003D564E"/>
    <w:rsid w:val="003D7F32"/>
    <w:rsid w:val="003E0888"/>
    <w:rsid w:val="003E0A54"/>
    <w:rsid w:val="003E42CF"/>
    <w:rsid w:val="003E6162"/>
    <w:rsid w:val="003F0C92"/>
    <w:rsid w:val="003F289F"/>
    <w:rsid w:val="003F2CBC"/>
    <w:rsid w:val="003F2D66"/>
    <w:rsid w:val="003F3A5C"/>
    <w:rsid w:val="003F3B38"/>
    <w:rsid w:val="003F3F85"/>
    <w:rsid w:val="003F6FED"/>
    <w:rsid w:val="0040435E"/>
    <w:rsid w:val="00406C3D"/>
    <w:rsid w:val="0040762E"/>
    <w:rsid w:val="00407BDB"/>
    <w:rsid w:val="004109BA"/>
    <w:rsid w:val="00412383"/>
    <w:rsid w:val="00413402"/>
    <w:rsid w:val="00413773"/>
    <w:rsid w:val="00415FE6"/>
    <w:rsid w:val="004168D8"/>
    <w:rsid w:val="00416AFA"/>
    <w:rsid w:val="004173B6"/>
    <w:rsid w:val="004178C3"/>
    <w:rsid w:val="0042191C"/>
    <w:rsid w:val="00422ABE"/>
    <w:rsid w:val="00423F11"/>
    <w:rsid w:val="00424840"/>
    <w:rsid w:val="0043020D"/>
    <w:rsid w:val="00430356"/>
    <w:rsid w:val="004305D1"/>
    <w:rsid w:val="004324A0"/>
    <w:rsid w:val="00432837"/>
    <w:rsid w:val="00433638"/>
    <w:rsid w:val="00433FD0"/>
    <w:rsid w:val="00434F68"/>
    <w:rsid w:val="00435B53"/>
    <w:rsid w:val="00437358"/>
    <w:rsid w:val="00441406"/>
    <w:rsid w:val="00442934"/>
    <w:rsid w:val="00445760"/>
    <w:rsid w:val="004458B4"/>
    <w:rsid w:val="00446A99"/>
    <w:rsid w:val="00446DA6"/>
    <w:rsid w:val="00447370"/>
    <w:rsid w:val="004473D0"/>
    <w:rsid w:val="00447F65"/>
    <w:rsid w:val="004569FB"/>
    <w:rsid w:val="00456A12"/>
    <w:rsid w:val="004571E5"/>
    <w:rsid w:val="0046138D"/>
    <w:rsid w:val="00461D48"/>
    <w:rsid w:val="00461DFB"/>
    <w:rsid w:val="00462723"/>
    <w:rsid w:val="004629BE"/>
    <w:rsid w:val="00462A20"/>
    <w:rsid w:val="00462F34"/>
    <w:rsid w:val="00463CD0"/>
    <w:rsid w:val="00466CA4"/>
    <w:rsid w:val="00470635"/>
    <w:rsid w:val="00470FDA"/>
    <w:rsid w:val="00475D79"/>
    <w:rsid w:val="0047630D"/>
    <w:rsid w:val="00477031"/>
    <w:rsid w:val="00480DC6"/>
    <w:rsid w:val="00482071"/>
    <w:rsid w:val="00482E1D"/>
    <w:rsid w:val="00490278"/>
    <w:rsid w:val="00490ED3"/>
    <w:rsid w:val="00492030"/>
    <w:rsid w:val="004925F5"/>
    <w:rsid w:val="00495AE0"/>
    <w:rsid w:val="00496665"/>
    <w:rsid w:val="00496A85"/>
    <w:rsid w:val="00497753"/>
    <w:rsid w:val="004A056B"/>
    <w:rsid w:val="004A07E0"/>
    <w:rsid w:val="004A0D04"/>
    <w:rsid w:val="004A14B5"/>
    <w:rsid w:val="004A25F1"/>
    <w:rsid w:val="004A28D4"/>
    <w:rsid w:val="004A3CAA"/>
    <w:rsid w:val="004A42BE"/>
    <w:rsid w:val="004A43AA"/>
    <w:rsid w:val="004A6CCE"/>
    <w:rsid w:val="004A6E5A"/>
    <w:rsid w:val="004A77E9"/>
    <w:rsid w:val="004A7C17"/>
    <w:rsid w:val="004B31EE"/>
    <w:rsid w:val="004B4412"/>
    <w:rsid w:val="004B4BDE"/>
    <w:rsid w:val="004B719F"/>
    <w:rsid w:val="004B7621"/>
    <w:rsid w:val="004C05D4"/>
    <w:rsid w:val="004C13A0"/>
    <w:rsid w:val="004C17A0"/>
    <w:rsid w:val="004C2F0F"/>
    <w:rsid w:val="004C3310"/>
    <w:rsid w:val="004C3C8F"/>
    <w:rsid w:val="004C6019"/>
    <w:rsid w:val="004C631A"/>
    <w:rsid w:val="004C7BD9"/>
    <w:rsid w:val="004D0549"/>
    <w:rsid w:val="004D1911"/>
    <w:rsid w:val="004D2E09"/>
    <w:rsid w:val="004D31CE"/>
    <w:rsid w:val="004D556E"/>
    <w:rsid w:val="004D685B"/>
    <w:rsid w:val="004D756D"/>
    <w:rsid w:val="004E25A0"/>
    <w:rsid w:val="004E438E"/>
    <w:rsid w:val="004E5DE6"/>
    <w:rsid w:val="004F1188"/>
    <w:rsid w:val="004F1292"/>
    <w:rsid w:val="004F1E35"/>
    <w:rsid w:val="004F2137"/>
    <w:rsid w:val="004F3791"/>
    <w:rsid w:val="004F395E"/>
    <w:rsid w:val="004F6A22"/>
    <w:rsid w:val="004F6F3B"/>
    <w:rsid w:val="004F74A1"/>
    <w:rsid w:val="00502E4B"/>
    <w:rsid w:val="00503B7D"/>
    <w:rsid w:val="005040B0"/>
    <w:rsid w:val="00506F79"/>
    <w:rsid w:val="00510D06"/>
    <w:rsid w:val="00510ED5"/>
    <w:rsid w:val="0051288D"/>
    <w:rsid w:val="00513F2A"/>
    <w:rsid w:val="00514FDB"/>
    <w:rsid w:val="00516CF9"/>
    <w:rsid w:val="00517721"/>
    <w:rsid w:val="005201FD"/>
    <w:rsid w:val="005257A0"/>
    <w:rsid w:val="00525AE5"/>
    <w:rsid w:val="005301BD"/>
    <w:rsid w:val="005319F5"/>
    <w:rsid w:val="00533418"/>
    <w:rsid w:val="0053354C"/>
    <w:rsid w:val="005335C3"/>
    <w:rsid w:val="00534EEA"/>
    <w:rsid w:val="0053574A"/>
    <w:rsid w:val="005373BC"/>
    <w:rsid w:val="005374E6"/>
    <w:rsid w:val="0053792E"/>
    <w:rsid w:val="00537ECF"/>
    <w:rsid w:val="00540325"/>
    <w:rsid w:val="00540A85"/>
    <w:rsid w:val="005429A2"/>
    <w:rsid w:val="005438F2"/>
    <w:rsid w:val="005443EB"/>
    <w:rsid w:val="005447B7"/>
    <w:rsid w:val="00545E3B"/>
    <w:rsid w:val="00545E59"/>
    <w:rsid w:val="00545ED5"/>
    <w:rsid w:val="0054672C"/>
    <w:rsid w:val="00546DA4"/>
    <w:rsid w:val="00556153"/>
    <w:rsid w:val="00556C40"/>
    <w:rsid w:val="005576B8"/>
    <w:rsid w:val="00557A98"/>
    <w:rsid w:val="00557CB8"/>
    <w:rsid w:val="00561524"/>
    <w:rsid w:val="00561CA0"/>
    <w:rsid w:val="005632CB"/>
    <w:rsid w:val="00563669"/>
    <w:rsid w:val="005648A8"/>
    <w:rsid w:val="005709D4"/>
    <w:rsid w:val="00570D20"/>
    <w:rsid w:val="00571C82"/>
    <w:rsid w:val="005727CF"/>
    <w:rsid w:val="005734DA"/>
    <w:rsid w:val="00575D05"/>
    <w:rsid w:val="00576F94"/>
    <w:rsid w:val="0058107F"/>
    <w:rsid w:val="00583094"/>
    <w:rsid w:val="00583450"/>
    <w:rsid w:val="005854C2"/>
    <w:rsid w:val="00586D30"/>
    <w:rsid w:val="00587494"/>
    <w:rsid w:val="0058791D"/>
    <w:rsid w:val="00593BC7"/>
    <w:rsid w:val="00594C3B"/>
    <w:rsid w:val="00596042"/>
    <w:rsid w:val="005961B0"/>
    <w:rsid w:val="0059786C"/>
    <w:rsid w:val="005A1794"/>
    <w:rsid w:val="005A2EA7"/>
    <w:rsid w:val="005A3B00"/>
    <w:rsid w:val="005A6D31"/>
    <w:rsid w:val="005B1C25"/>
    <w:rsid w:val="005B3F06"/>
    <w:rsid w:val="005B5108"/>
    <w:rsid w:val="005B5827"/>
    <w:rsid w:val="005B6155"/>
    <w:rsid w:val="005B6CD1"/>
    <w:rsid w:val="005C2918"/>
    <w:rsid w:val="005C5A7C"/>
    <w:rsid w:val="005C5D4E"/>
    <w:rsid w:val="005D001A"/>
    <w:rsid w:val="005D3573"/>
    <w:rsid w:val="005D504E"/>
    <w:rsid w:val="005D79D8"/>
    <w:rsid w:val="005E14CD"/>
    <w:rsid w:val="005E1C22"/>
    <w:rsid w:val="005E3822"/>
    <w:rsid w:val="005E761C"/>
    <w:rsid w:val="005F3DF7"/>
    <w:rsid w:val="005F5F21"/>
    <w:rsid w:val="005F6A08"/>
    <w:rsid w:val="005F729E"/>
    <w:rsid w:val="005F7BA4"/>
    <w:rsid w:val="00600188"/>
    <w:rsid w:val="00600D4F"/>
    <w:rsid w:val="006029D4"/>
    <w:rsid w:val="00603D66"/>
    <w:rsid w:val="006055DD"/>
    <w:rsid w:val="006063B0"/>
    <w:rsid w:val="006064FF"/>
    <w:rsid w:val="00606F20"/>
    <w:rsid w:val="00607753"/>
    <w:rsid w:val="00611855"/>
    <w:rsid w:val="00613396"/>
    <w:rsid w:val="00614AAD"/>
    <w:rsid w:val="006157DD"/>
    <w:rsid w:val="00616A9D"/>
    <w:rsid w:val="006229C0"/>
    <w:rsid w:val="00623257"/>
    <w:rsid w:val="00623778"/>
    <w:rsid w:val="00623830"/>
    <w:rsid w:val="00623D66"/>
    <w:rsid w:val="00623F01"/>
    <w:rsid w:val="006273DA"/>
    <w:rsid w:val="00633002"/>
    <w:rsid w:val="006354AF"/>
    <w:rsid w:val="00635953"/>
    <w:rsid w:val="00635D9F"/>
    <w:rsid w:val="00636721"/>
    <w:rsid w:val="0063731D"/>
    <w:rsid w:val="006446E2"/>
    <w:rsid w:val="00653D14"/>
    <w:rsid w:val="006543DF"/>
    <w:rsid w:val="006544DA"/>
    <w:rsid w:val="00654985"/>
    <w:rsid w:val="00655329"/>
    <w:rsid w:val="006559F7"/>
    <w:rsid w:val="00656B24"/>
    <w:rsid w:val="00656C88"/>
    <w:rsid w:val="0066742C"/>
    <w:rsid w:val="00667C7F"/>
    <w:rsid w:val="006704D7"/>
    <w:rsid w:val="00670D8A"/>
    <w:rsid w:val="006718D6"/>
    <w:rsid w:val="00674F9F"/>
    <w:rsid w:val="00674FD1"/>
    <w:rsid w:val="006759CB"/>
    <w:rsid w:val="00676850"/>
    <w:rsid w:val="006800A7"/>
    <w:rsid w:val="00680107"/>
    <w:rsid w:val="00680782"/>
    <w:rsid w:val="0068187A"/>
    <w:rsid w:val="00682745"/>
    <w:rsid w:val="00685862"/>
    <w:rsid w:val="00685B21"/>
    <w:rsid w:val="006863BB"/>
    <w:rsid w:val="0068784C"/>
    <w:rsid w:val="00687A65"/>
    <w:rsid w:val="00691895"/>
    <w:rsid w:val="0069284E"/>
    <w:rsid w:val="00693688"/>
    <w:rsid w:val="00695186"/>
    <w:rsid w:val="006963AA"/>
    <w:rsid w:val="00696708"/>
    <w:rsid w:val="00696E8C"/>
    <w:rsid w:val="00697286"/>
    <w:rsid w:val="006A0323"/>
    <w:rsid w:val="006A1DD5"/>
    <w:rsid w:val="006A27A4"/>
    <w:rsid w:val="006A41F7"/>
    <w:rsid w:val="006A4BB0"/>
    <w:rsid w:val="006A5756"/>
    <w:rsid w:val="006A644D"/>
    <w:rsid w:val="006A6804"/>
    <w:rsid w:val="006A6B5B"/>
    <w:rsid w:val="006A786F"/>
    <w:rsid w:val="006A7FE9"/>
    <w:rsid w:val="006B1951"/>
    <w:rsid w:val="006B6621"/>
    <w:rsid w:val="006B7C88"/>
    <w:rsid w:val="006C1BF2"/>
    <w:rsid w:val="006C1D4E"/>
    <w:rsid w:val="006C209C"/>
    <w:rsid w:val="006C230D"/>
    <w:rsid w:val="006C396A"/>
    <w:rsid w:val="006C41F4"/>
    <w:rsid w:val="006C4809"/>
    <w:rsid w:val="006C5EED"/>
    <w:rsid w:val="006C6ED2"/>
    <w:rsid w:val="006D003A"/>
    <w:rsid w:val="006D0557"/>
    <w:rsid w:val="006D074A"/>
    <w:rsid w:val="006D0870"/>
    <w:rsid w:val="006D3D3E"/>
    <w:rsid w:val="006D5D77"/>
    <w:rsid w:val="006D6EAF"/>
    <w:rsid w:val="006D75D4"/>
    <w:rsid w:val="006E0232"/>
    <w:rsid w:val="006E03EE"/>
    <w:rsid w:val="006E1C11"/>
    <w:rsid w:val="006E1DA0"/>
    <w:rsid w:val="006E23DC"/>
    <w:rsid w:val="006E2D34"/>
    <w:rsid w:val="006E2E49"/>
    <w:rsid w:val="006E4295"/>
    <w:rsid w:val="006E4317"/>
    <w:rsid w:val="006E4653"/>
    <w:rsid w:val="006E7EAF"/>
    <w:rsid w:val="006F2D73"/>
    <w:rsid w:val="006F6961"/>
    <w:rsid w:val="006F77A9"/>
    <w:rsid w:val="00701F8F"/>
    <w:rsid w:val="007025C7"/>
    <w:rsid w:val="00703977"/>
    <w:rsid w:val="00705FD8"/>
    <w:rsid w:val="00707AB5"/>
    <w:rsid w:val="00711287"/>
    <w:rsid w:val="00712BCF"/>
    <w:rsid w:val="00720AE1"/>
    <w:rsid w:val="00721B1C"/>
    <w:rsid w:val="00722455"/>
    <w:rsid w:val="0072299F"/>
    <w:rsid w:val="00722DF3"/>
    <w:rsid w:val="00723D82"/>
    <w:rsid w:val="00724521"/>
    <w:rsid w:val="00726468"/>
    <w:rsid w:val="0072765D"/>
    <w:rsid w:val="00731E4B"/>
    <w:rsid w:val="007326B2"/>
    <w:rsid w:val="00732C2A"/>
    <w:rsid w:val="00732D95"/>
    <w:rsid w:val="00733726"/>
    <w:rsid w:val="00733BCC"/>
    <w:rsid w:val="00733EB1"/>
    <w:rsid w:val="0073414E"/>
    <w:rsid w:val="0073450C"/>
    <w:rsid w:val="00734654"/>
    <w:rsid w:val="00735B63"/>
    <w:rsid w:val="007379F5"/>
    <w:rsid w:val="00737B5E"/>
    <w:rsid w:val="00740CEB"/>
    <w:rsid w:val="007418EB"/>
    <w:rsid w:val="0074248A"/>
    <w:rsid w:val="007472BD"/>
    <w:rsid w:val="007523CB"/>
    <w:rsid w:val="007549EA"/>
    <w:rsid w:val="0075716B"/>
    <w:rsid w:val="00765C98"/>
    <w:rsid w:val="00770951"/>
    <w:rsid w:val="007726AD"/>
    <w:rsid w:val="0077309A"/>
    <w:rsid w:val="00774F56"/>
    <w:rsid w:val="00776418"/>
    <w:rsid w:val="00776EA9"/>
    <w:rsid w:val="00777038"/>
    <w:rsid w:val="007770D2"/>
    <w:rsid w:val="00781D5D"/>
    <w:rsid w:val="0078205D"/>
    <w:rsid w:val="007828BF"/>
    <w:rsid w:val="007842AF"/>
    <w:rsid w:val="00784598"/>
    <w:rsid w:val="007851B8"/>
    <w:rsid w:val="00785322"/>
    <w:rsid w:val="007874EF"/>
    <w:rsid w:val="00787E46"/>
    <w:rsid w:val="00790442"/>
    <w:rsid w:val="0079466D"/>
    <w:rsid w:val="007A00F3"/>
    <w:rsid w:val="007A07D8"/>
    <w:rsid w:val="007A0C7A"/>
    <w:rsid w:val="007A1132"/>
    <w:rsid w:val="007A1F33"/>
    <w:rsid w:val="007A677A"/>
    <w:rsid w:val="007B1F78"/>
    <w:rsid w:val="007B24C7"/>
    <w:rsid w:val="007B3924"/>
    <w:rsid w:val="007B3E46"/>
    <w:rsid w:val="007B4092"/>
    <w:rsid w:val="007B5D3C"/>
    <w:rsid w:val="007B7BEB"/>
    <w:rsid w:val="007B7C3A"/>
    <w:rsid w:val="007B7CA1"/>
    <w:rsid w:val="007B7FF5"/>
    <w:rsid w:val="007C34A0"/>
    <w:rsid w:val="007C7B74"/>
    <w:rsid w:val="007C7CBE"/>
    <w:rsid w:val="007D085F"/>
    <w:rsid w:val="007D0994"/>
    <w:rsid w:val="007D2733"/>
    <w:rsid w:val="007D3DE4"/>
    <w:rsid w:val="007D55BC"/>
    <w:rsid w:val="007D5940"/>
    <w:rsid w:val="007D60CB"/>
    <w:rsid w:val="007D6CBE"/>
    <w:rsid w:val="007E0116"/>
    <w:rsid w:val="007E1143"/>
    <w:rsid w:val="007E748E"/>
    <w:rsid w:val="007F02EB"/>
    <w:rsid w:val="007F0547"/>
    <w:rsid w:val="007F143A"/>
    <w:rsid w:val="007F7502"/>
    <w:rsid w:val="00800EA8"/>
    <w:rsid w:val="0080139A"/>
    <w:rsid w:val="00802966"/>
    <w:rsid w:val="00805A64"/>
    <w:rsid w:val="00805E56"/>
    <w:rsid w:val="00806EEC"/>
    <w:rsid w:val="0080755F"/>
    <w:rsid w:val="00807C7F"/>
    <w:rsid w:val="00813AE3"/>
    <w:rsid w:val="00813CD3"/>
    <w:rsid w:val="00814211"/>
    <w:rsid w:val="008157DD"/>
    <w:rsid w:val="008164C9"/>
    <w:rsid w:val="0081651F"/>
    <w:rsid w:val="008169AE"/>
    <w:rsid w:val="00821DF8"/>
    <w:rsid w:val="00822259"/>
    <w:rsid w:val="00822C13"/>
    <w:rsid w:val="00822C73"/>
    <w:rsid w:val="00824C9B"/>
    <w:rsid w:val="00824FF1"/>
    <w:rsid w:val="00826260"/>
    <w:rsid w:val="00826F82"/>
    <w:rsid w:val="008276DA"/>
    <w:rsid w:val="00832952"/>
    <w:rsid w:val="00832BDE"/>
    <w:rsid w:val="00835263"/>
    <w:rsid w:val="00835950"/>
    <w:rsid w:val="00835BCB"/>
    <w:rsid w:val="00837DF9"/>
    <w:rsid w:val="00840008"/>
    <w:rsid w:val="00843CF1"/>
    <w:rsid w:val="00844215"/>
    <w:rsid w:val="008447F6"/>
    <w:rsid w:val="00850731"/>
    <w:rsid w:val="00851321"/>
    <w:rsid w:val="00851C6C"/>
    <w:rsid w:val="0085454F"/>
    <w:rsid w:val="00854898"/>
    <w:rsid w:val="0085513F"/>
    <w:rsid w:val="00855624"/>
    <w:rsid w:val="0085562C"/>
    <w:rsid w:val="00856CC1"/>
    <w:rsid w:val="00856E20"/>
    <w:rsid w:val="008577C0"/>
    <w:rsid w:val="00861581"/>
    <w:rsid w:val="00861BD9"/>
    <w:rsid w:val="00861FDC"/>
    <w:rsid w:val="00862502"/>
    <w:rsid w:val="00864AA0"/>
    <w:rsid w:val="00864F40"/>
    <w:rsid w:val="00870769"/>
    <w:rsid w:val="00870855"/>
    <w:rsid w:val="008718EA"/>
    <w:rsid w:val="008718FB"/>
    <w:rsid w:val="0087305A"/>
    <w:rsid w:val="00873C59"/>
    <w:rsid w:val="00875571"/>
    <w:rsid w:val="0087566F"/>
    <w:rsid w:val="00875B6E"/>
    <w:rsid w:val="00876121"/>
    <w:rsid w:val="008771E7"/>
    <w:rsid w:val="00880C89"/>
    <w:rsid w:val="00882A9C"/>
    <w:rsid w:val="0088478F"/>
    <w:rsid w:val="00884B47"/>
    <w:rsid w:val="00885A37"/>
    <w:rsid w:val="00890FA3"/>
    <w:rsid w:val="008912B8"/>
    <w:rsid w:val="00893CC2"/>
    <w:rsid w:val="00893DD3"/>
    <w:rsid w:val="0089519F"/>
    <w:rsid w:val="00895660"/>
    <w:rsid w:val="00895D47"/>
    <w:rsid w:val="008968BD"/>
    <w:rsid w:val="008A013C"/>
    <w:rsid w:val="008A21BE"/>
    <w:rsid w:val="008A3E3C"/>
    <w:rsid w:val="008A77E9"/>
    <w:rsid w:val="008B0EB6"/>
    <w:rsid w:val="008B128C"/>
    <w:rsid w:val="008B15CE"/>
    <w:rsid w:val="008B240A"/>
    <w:rsid w:val="008B27A5"/>
    <w:rsid w:val="008B599D"/>
    <w:rsid w:val="008B5C20"/>
    <w:rsid w:val="008B60F7"/>
    <w:rsid w:val="008C242E"/>
    <w:rsid w:val="008C2892"/>
    <w:rsid w:val="008C2B8D"/>
    <w:rsid w:val="008C2FC5"/>
    <w:rsid w:val="008C3DBB"/>
    <w:rsid w:val="008C4981"/>
    <w:rsid w:val="008C5306"/>
    <w:rsid w:val="008D0D09"/>
    <w:rsid w:val="008D124F"/>
    <w:rsid w:val="008D191B"/>
    <w:rsid w:val="008D2074"/>
    <w:rsid w:val="008D4AA9"/>
    <w:rsid w:val="008D4CEC"/>
    <w:rsid w:val="008D6194"/>
    <w:rsid w:val="008D662B"/>
    <w:rsid w:val="008D7D0F"/>
    <w:rsid w:val="008E0703"/>
    <w:rsid w:val="008E1A5B"/>
    <w:rsid w:val="008E46C7"/>
    <w:rsid w:val="008E46EB"/>
    <w:rsid w:val="008F0A3F"/>
    <w:rsid w:val="008F1013"/>
    <w:rsid w:val="008F12D0"/>
    <w:rsid w:val="008F1EF8"/>
    <w:rsid w:val="008F297C"/>
    <w:rsid w:val="008F4261"/>
    <w:rsid w:val="008F59EE"/>
    <w:rsid w:val="008F5FD8"/>
    <w:rsid w:val="009008DB"/>
    <w:rsid w:val="00903428"/>
    <w:rsid w:val="00903812"/>
    <w:rsid w:val="009127F5"/>
    <w:rsid w:val="009130D2"/>
    <w:rsid w:val="00914EED"/>
    <w:rsid w:val="00916A5E"/>
    <w:rsid w:val="00921356"/>
    <w:rsid w:val="00921398"/>
    <w:rsid w:val="00923C95"/>
    <w:rsid w:val="00923F56"/>
    <w:rsid w:val="00924F46"/>
    <w:rsid w:val="009250AE"/>
    <w:rsid w:val="00931570"/>
    <w:rsid w:val="00935BEF"/>
    <w:rsid w:val="009368B8"/>
    <w:rsid w:val="00942110"/>
    <w:rsid w:val="009432DB"/>
    <w:rsid w:val="00944C2C"/>
    <w:rsid w:val="00945FCA"/>
    <w:rsid w:val="00946CB8"/>
    <w:rsid w:val="00951997"/>
    <w:rsid w:val="00951F5D"/>
    <w:rsid w:val="00954A85"/>
    <w:rsid w:val="00960794"/>
    <w:rsid w:val="00960F8F"/>
    <w:rsid w:val="009617D1"/>
    <w:rsid w:val="009626F9"/>
    <w:rsid w:val="0096278B"/>
    <w:rsid w:val="00962933"/>
    <w:rsid w:val="00964CFF"/>
    <w:rsid w:val="00964DC0"/>
    <w:rsid w:val="00966566"/>
    <w:rsid w:val="0096696C"/>
    <w:rsid w:val="00967058"/>
    <w:rsid w:val="00967EF0"/>
    <w:rsid w:val="00970D12"/>
    <w:rsid w:val="009722A9"/>
    <w:rsid w:val="009762BE"/>
    <w:rsid w:val="00976375"/>
    <w:rsid w:val="009773E3"/>
    <w:rsid w:val="00977427"/>
    <w:rsid w:val="009778A7"/>
    <w:rsid w:val="0098030F"/>
    <w:rsid w:val="00982194"/>
    <w:rsid w:val="0098233D"/>
    <w:rsid w:val="0098240F"/>
    <w:rsid w:val="00982D56"/>
    <w:rsid w:val="00983A00"/>
    <w:rsid w:val="009842B9"/>
    <w:rsid w:val="0098486D"/>
    <w:rsid w:val="00984B1A"/>
    <w:rsid w:val="00984D3E"/>
    <w:rsid w:val="009851B9"/>
    <w:rsid w:val="00985EA5"/>
    <w:rsid w:val="0098697B"/>
    <w:rsid w:val="0098741D"/>
    <w:rsid w:val="00990FCA"/>
    <w:rsid w:val="009927EA"/>
    <w:rsid w:val="0099346B"/>
    <w:rsid w:val="00995E71"/>
    <w:rsid w:val="00997749"/>
    <w:rsid w:val="009A0DD3"/>
    <w:rsid w:val="009A34D9"/>
    <w:rsid w:val="009A4035"/>
    <w:rsid w:val="009A448F"/>
    <w:rsid w:val="009A5E14"/>
    <w:rsid w:val="009A5F91"/>
    <w:rsid w:val="009A66B9"/>
    <w:rsid w:val="009B2012"/>
    <w:rsid w:val="009B24CE"/>
    <w:rsid w:val="009B34E3"/>
    <w:rsid w:val="009B4028"/>
    <w:rsid w:val="009B40C2"/>
    <w:rsid w:val="009B52FD"/>
    <w:rsid w:val="009B65B8"/>
    <w:rsid w:val="009B6D7D"/>
    <w:rsid w:val="009B7177"/>
    <w:rsid w:val="009B7185"/>
    <w:rsid w:val="009B7FF3"/>
    <w:rsid w:val="009C002D"/>
    <w:rsid w:val="009C182B"/>
    <w:rsid w:val="009C1B95"/>
    <w:rsid w:val="009C298C"/>
    <w:rsid w:val="009C5F87"/>
    <w:rsid w:val="009C6774"/>
    <w:rsid w:val="009C7A07"/>
    <w:rsid w:val="009D2EC2"/>
    <w:rsid w:val="009D422F"/>
    <w:rsid w:val="009E0094"/>
    <w:rsid w:val="009E27F0"/>
    <w:rsid w:val="009E2FC8"/>
    <w:rsid w:val="009E41A3"/>
    <w:rsid w:val="009E488F"/>
    <w:rsid w:val="009E536C"/>
    <w:rsid w:val="009E6387"/>
    <w:rsid w:val="009F00B9"/>
    <w:rsid w:val="009F14E8"/>
    <w:rsid w:val="009F259D"/>
    <w:rsid w:val="009F39A3"/>
    <w:rsid w:val="009F4C80"/>
    <w:rsid w:val="009F539C"/>
    <w:rsid w:val="009F577E"/>
    <w:rsid w:val="009F6BDB"/>
    <w:rsid w:val="009F77DD"/>
    <w:rsid w:val="00A00204"/>
    <w:rsid w:val="00A003B9"/>
    <w:rsid w:val="00A011F7"/>
    <w:rsid w:val="00A01E90"/>
    <w:rsid w:val="00A02D25"/>
    <w:rsid w:val="00A032EE"/>
    <w:rsid w:val="00A05174"/>
    <w:rsid w:val="00A10E7E"/>
    <w:rsid w:val="00A11775"/>
    <w:rsid w:val="00A15E49"/>
    <w:rsid w:val="00A16FB3"/>
    <w:rsid w:val="00A17ACE"/>
    <w:rsid w:val="00A21A3A"/>
    <w:rsid w:val="00A21C37"/>
    <w:rsid w:val="00A23AF5"/>
    <w:rsid w:val="00A2421A"/>
    <w:rsid w:val="00A24224"/>
    <w:rsid w:val="00A24FBA"/>
    <w:rsid w:val="00A3011A"/>
    <w:rsid w:val="00A303AD"/>
    <w:rsid w:val="00A3057F"/>
    <w:rsid w:val="00A30A17"/>
    <w:rsid w:val="00A30A29"/>
    <w:rsid w:val="00A30C47"/>
    <w:rsid w:val="00A35378"/>
    <w:rsid w:val="00A36553"/>
    <w:rsid w:val="00A37738"/>
    <w:rsid w:val="00A378ED"/>
    <w:rsid w:val="00A40779"/>
    <w:rsid w:val="00A412EE"/>
    <w:rsid w:val="00A415A0"/>
    <w:rsid w:val="00A4354D"/>
    <w:rsid w:val="00A51584"/>
    <w:rsid w:val="00A516DC"/>
    <w:rsid w:val="00A51725"/>
    <w:rsid w:val="00A534D3"/>
    <w:rsid w:val="00A54138"/>
    <w:rsid w:val="00A55026"/>
    <w:rsid w:val="00A566A9"/>
    <w:rsid w:val="00A57B0C"/>
    <w:rsid w:val="00A65428"/>
    <w:rsid w:val="00A67A15"/>
    <w:rsid w:val="00A7244E"/>
    <w:rsid w:val="00A73F09"/>
    <w:rsid w:val="00A759AA"/>
    <w:rsid w:val="00A77534"/>
    <w:rsid w:val="00A802FC"/>
    <w:rsid w:val="00A8103D"/>
    <w:rsid w:val="00A8234C"/>
    <w:rsid w:val="00A84F44"/>
    <w:rsid w:val="00A860E2"/>
    <w:rsid w:val="00A8620F"/>
    <w:rsid w:val="00A90381"/>
    <w:rsid w:val="00A91B30"/>
    <w:rsid w:val="00A9256D"/>
    <w:rsid w:val="00A9428A"/>
    <w:rsid w:val="00A94D0D"/>
    <w:rsid w:val="00A950EC"/>
    <w:rsid w:val="00AA13F6"/>
    <w:rsid w:val="00AA2C17"/>
    <w:rsid w:val="00AA5FDD"/>
    <w:rsid w:val="00AA6022"/>
    <w:rsid w:val="00AA7BA8"/>
    <w:rsid w:val="00AB12E1"/>
    <w:rsid w:val="00AB262B"/>
    <w:rsid w:val="00AB4384"/>
    <w:rsid w:val="00AB6462"/>
    <w:rsid w:val="00AB711D"/>
    <w:rsid w:val="00AC03B3"/>
    <w:rsid w:val="00AC0B0F"/>
    <w:rsid w:val="00AC12B7"/>
    <w:rsid w:val="00AC3910"/>
    <w:rsid w:val="00AC3FB2"/>
    <w:rsid w:val="00AC458A"/>
    <w:rsid w:val="00AC4882"/>
    <w:rsid w:val="00AC5896"/>
    <w:rsid w:val="00AD136A"/>
    <w:rsid w:val="00AD4291"/>
    <w:rsid w:val="00AD4B3F"/>
    <w:rsid w:val="00AD4DB7"/>
    <w:rsid w:val="00AD6A30"/>
    <w:rsid w:val="00AD6D30"/>
    <w:rsid w:val="00AD77B6"/>
    <w:rsid w:val="00AD78ED"/>
    <w:rsid w:val="00AE1488"/>
    <w:rsid w:val="00AE1E46"/>
    <w:rsid w:val="00AE39BC"/>
    <w:rsid w:val="00AE4452"/>
    <w:rsid w:val="00AE773D"/>
    <w:rsid w:val="00AF14B8"/>
    <w:rsid w:val="00AF2EEA"/>
    <w:rsid w:val="00AF4860"/>
    <w:rsid w:val="00AF48EF"/>
    <w:rsid w:val="00AF52F3"/>
    <w:rsid w:val="00AF5706"/>
    <w:rsid w:val="00AF6161"/>
    <w:rsid w:val="00AF6D87"/>
    <w:rsid w:val="00AF78FF"/>
    <w:rsid w:val="00AF7C41"/>
    <w:rsid w:val="00B000E9"/>
    <w:rsid w:val="00B00A4D"/>
    <w:rsid w:val="00B0184F"/>
    <w:rsid w:val="00B019DB"/>
    <w:rsid w:val="00B040B3"/>
    <w:rsid w:val="00B04E4C"/>
    <w:rsid w:val="00B05F5E"/>
    <w:rsid w:val="00B066BB"/>
    <w:rsid w:val="00B07649"/>
    <w:rsid w:val="00B07EE2"/>
    <w:rsid w:val="00B10390"/>
    <w:rsid w:val="00B105C4"/>
    <w:rsid w:val="00B11079"/>
    <w:rsid w:val="00B12179"/>
    <w:rsid w:val="00B132DC"/>
    <w:rsid w:val="00B13541"/>
    <w:rsid w:val="00B15CDC"/>
    <w:rsid w:val="00B16F99"/>
    <w:rsid w:val="00B21719"/>
    <w:rsid w:val="00B21B9D"/>
    <w:rsid w:val="00B21BAA"/>
    <w:rsid w:val="00B22227"/>
    <w:rsid w:val="00B22F79"/>
    <w:rsid w:val="00B27600"/>
    <w:rsid w:val="00B30BE7"/>
    <w:rsid w:val="00B333A9"/>
    <w:rsid w:val="00B33F56"/>
    <w:rsid w:val="00B405EA"/>
    <w:rsid w:val="00B408BE"/>
    <w:rsid w:val="00B41723"/>
    <w:rsid w:val="00B41A8D"/>
    <w:rsid w:val="00B428DC"/>
    <w:rsid w:val="00B4302D"/>
    <w:rsid w:val="00B4388E"/>
    <w:rsid w:val="00B442D1"/>
    <w:rsid w:val="00B4451C"/>
    <w:rsid w:val="00B44D69"/>
    <w:rsid w:val="00B44DDD"/>
    <w:rsid w:val="00B456F9"/>
    <w:rsid w:val="00B4797C"/>
    <w:rsid w:val="00B501F2"/>
    <w:rsid w:val="00B504E6"/>
    <w:rsid w:val="00B5151A"/>
    <w:rsid w:val="00B548EE"/>
    <w:rsid w:val="00B55678"/>
    <w:rsid w:val="00B5640E"/>
    <w:rsid w:val="00B577F7"/>
    <w:rsid w:val="00B62C9D"/>
    <w:rsid w:val="00B62D9C"/>
    <w:rsid w:val="00B63138"/>
    <w:rsid w:val="00B63672"/>
    <w:rsid w:val="00B6509A"/>
    <w:rsid w:val="00B65294"/>
    <w:rsid w:val="00B65B33"/>
    <w:rsid w:val="00B6662A"/>
    <w:rsid w:val="00B670B8"/>
    <w:rsid w:val="00B71A0D"/>
    <w:rsid w:val="00B71C41"/>
    <w:rsid w:val="00B71EB7"/>
    <w:rsid w:val="00B7558E"/>
    <w:rsid w:val="00B756B6"/>
    <w:rsid w:val="00B75BF9"/>
    <w:rsid w:val="00B75F0E"/>
    <w:rsid w:val="00B76D7B"/>
    <w:rsid w:val="00B77A5A"/>
    <w:rsid w:val="00B802A5"/>
    <w:rsid w:val="00B80E5B"/>
    <w:rsid w:val="00B814EC"/>
    <w:rsid w:val="00B81C68"/>
    <w:rsid w:val="00B81DDE"/>
    <w:rsid w:val="00B82CD9"/>
    <w:rsid w:val="00B83128"/>
    <w:rsid w:val="00B83181"/>
    <w:rsid w:val="00B84DE0"/>
    <w:rsid w:val="00B85C81"/>
    <w:rsid w:val="00B85D26"/>
    <w:rsid w:val="00B8774F"/>
    <w:rsid w:val="00B907EC"/>
    <w:rsid w:val="00B90CBC"/>
    <w:rsid w:val="00B9232C"/>
    <w:rsid w:val="00B933B2"/>
    <w:rsid w:val="00B9584B"/>
    <w:rsid w:val="00B95860"/>
    <w:rsid w:val="00B95E2D"/>
    <w:rsid w:val="00B96C20"/>
    <w:rsid w:val="00B97840"/>
    <w:rsid w:val="00BA1193"/>
    <w:rsid w:val="00BA1390"/>
    <w:rsid w:val="00BA22B3"/>
    <w:rsid w:val="00BA2F31"/>
    <w:rsid w:val="00BA3C56"/>
    <w:rsid w:val="00BA46ED"/>
    <w:rsid w:val="00BA6DA7"/>
    <w:rsid w:val="00BA76DB"/>
    <w:rsid w:val="00BB0024"/>
    <w:rsid w:val="00BB0ECB"/>
    <w:rsid w:val="00BB1854"/>
    <w:rsid w:val="00BB402D"/>
    <w:rsid w:val="00BB4AC2"/>
    <w:rsid w:val="00BB6ABE"/>
    <w:rsid w:val="00BB7B0F"/>
    <w:rsid w:val="00BC59E4"/>
    <w:rsid w:val="00BC7CF2"/>
    <w:rsid w:val="00BD1137"/>
    <w:rsid w:val="00BD16C7"/>
    <w:rsid w:val="00BD34E7"/>
    <w:rsid w:val="00BD3DB0"/>
    <w:rsid w:val="00BD46AF"/>
    <w:rsid w:val="00BD4EAB"/>
    <w:rsid w:val="00BD67E9"/>
    <w:rsid w:val="00BD67F1"/>
    <w:rsid w:val="00BE0E25"/>
    <w:rsid w:val="00BE1A2B"/>
    <w:rsid w:val="00BE4D5F"/>
    <w:rsid w:val="00BF0842"/>
    <w:rsid w:val="00BF41EC"/>
    <w:rsid w:val="00BF772E"/>
    <w:rsid w:val="00C003CB"/>
    <w:rsid w:val="00C009D0"/>
    <w:rsid w:val="00C01271"/>
    <w:rsid w:val="00C01304"/>
    <w:rsid w:val="00C0149C"/>
    <w:rsid w:val="00C018E5"/>
    <w:rsid w:val="00C045C7"/>
    <w:rsid w:val="00C04761"/>
    <w:rsid w:val="00C058CE"/>
    <w:rsid w:val="00C0742A"/>
    <w:rsid w:val="00C105F9"/>
    <w:rsid w:val="00C118E0"/>
    <w:rsid w:val="00C12235"/>
    <w:rsid w:val="00C15C0F"/>
    <w:rsid w:val="00C22226"/>
    <w:rsid w:val="00C23218"/>
    <w:rsid w:val="00C242A2"/>
    <w:rsid w:val="00C25086"/>
    <w:rsid w:val="00C25448"/>
    <w:rsid w:val="00C30AB7"/>
    <w:rsid w:val="00C30DF4"/>
    <w:rsid w:val="00C30EA4"/>
    <w:rsid w:val="00C3185D"/>
    <w:rsid w:val="00C338CC"/>
    <w:rsid w:val="00C36576"/>
    <w:rsid w:val="00C407B6"/>
    <w:rsid w:val="00C41244"/>
    <w:rsid w:val="00C41DB9"/>
    <w:rsid w:val="00C43989"/>
    <w:rsid w:val="00C447EE"/>
    <w:rsid w:val="00C4612A"/>
    <w:rsid w:val="00C5003B"/>
    <w:rsid w:val="00C523E8"/>
    <w:rsid w:val="00C5395E"/>
    <w:rsid w:val="00C55FE3"/>
    <w:rsid w:val="00C620C2"/>
    <w:rsid w:val="00C64137"/>
    <w:rsid w:val="00C666BA"/>
    <w:rsid w:val="00C67773"/>
    <w:rsid w:val="00C73373"/>
    <w:rsid w:val="00C74758"/>
    <w:rsid w:val="00C77CEE"/>
    <w:rsid w:val="00C80358"/>
    <w:rsid w:val="00C80804"/>
    <w:rsid w:val="00C8081C"/>
    <w:rsid w:val="00C81419"/>
    <w:rsid w:val="00C82191"/>
    <w:rsid w:val="00C827AA"/>
    <w:rsid w:val="00C83555"/>
    <w:rsid w:val="00C83D73"/>
    <w:rsid w:val="00C84CCD"/>
    <w:rsid w:val="00C855C3"/>
    <w:rsid w:val="00C85F7F"/>
    <w:rsid w:val="00C86F3B"/>
    <w:rsid w:val="00C9023D"/>
    <w:rsid w:val="00C90292"/>
    <w:rsid w:val="00C92F7A"/>
    <w:rsid w:val="00C940E1"/>
    <w:rsid w:val="00C942AD"/>
    <w:rsid w:val="00C95458"/>
    <w:rsid w:val="00CA0B36"/>
    <w:rsid w:val="00CA0F98"/>
    <w:rsid w:val="00CA1475"/>
    <w:rsid w:val="00CA15B7"/>
    <w:rsid w:val="00CA1857"/>
    <w:rsid w:val="00CA3279"/>
    <w:rsid w:val="00CA5A67"/>
    <w:rsid w:val="00CA6557"/>
    <w:rsid w:val="00CB26B5"/>
    <w:rsid w:val="00CB475E"/>
    <w:rsid w:val="00CB5247"/>
    <w:rsid w:val="00CB6104"/>
    <w:rsid w:val="00CB7300"/>
    <w:rsid w:val="00CB763B"/>
    <w:rsid w:val="00CB7E70"/>
    <w:rsid w:val="00CC0F17"/>
    <w:rsid w:val="00CC3F24"/>
    <w:rsid w:val="00CC56C3"/>
    <w:rsid w:val="00CC58E7"/>
    <w:rsid w:val="00CC6972"/>
    <w:rsid w:val="00CC6BB9"/>
    <w:rsid w:val="00CC6FE7"/>
    <w:rsid w:val="00CC709C"/>
    <w:rsid w:val="00CC7330"/>
    <w:rsid w:val="00CC74C4"/>
    <w:rsid w:val="00CD3ADE"/>
    <w:rsid w:val="00CD6355"/>
    <w:rsid w:val="00CD7797"/>
    <w:rsid w:val="00CE1D88"/>
    <w:rsid w:val="00CE2276"/>
    <w:rsid w:val="00CE73D8"/>
    <w:rsid w:val="00CF02A9"/>
    <w:rsid w:val="00CF1FFB"/>
    <w:rsid w:val="00CF2C05"/>
    <w:rsid w:val="00CF4C43"/>
    <w:rsid w:val="00CF53BD"/>
    <w:rsid w:val="00CF7F83"/>
    <w:rsid w:val="00D01AB1"/>
    <w:rsid w:val="00D04183"/>
    <w:rsid w:val="00D0502E"/>
    <w:rsid w:val="00D0603B"/>
    <w:rsid w:val="00D061E8"/>
    <w:rsid w:val="00D07637"/>
    <w:rsid w:val="00D1091C"/>
    <w:rsid w:val="00D112FD"/>
    <w:rsid w:val="00D11A20"/>
    <w:rsid w:val="00D11ACB"/>
    <w:rsid w:val="00D11F8E"/>
    <w:rsid w:val="00D16EED"/>
    <w:rsid w:val="00D208DD"/>
    <w:rsid w:val="00D21610"/>
    <w:rsid w:val="00D21B0C"/>
    <w:rsid w:val="00D220A3"/>
    <w:rsid w:val="00D22DB2"/>
    <w:rsid w:val="00D2378F"/>
    <w:rsid w:val="00D23E6B"/>
    <w:rsid w:val="00D256ED"/>
    <w:rsid w:val="00D257E2"/>
    <w:rsid w:val="00D27BAC"/>
    <w:rsid w:val="00D328EE"/>
    <w:rsid w:val="00D32969"/>
    <w:rsid w:val="00D3335D"/>
    <w:rsid w:val="00D341A1"/>
    <w:rsid w:val="00D341B6"/>
    <w:rsid w:val="00D34DBB"/>
    <w:rsid w:val="00D3661E"/>
    <w:rsid w:val="00D36697"/>
    <w:rsid w:val="00D36FB9"/>
    <w:rsid w:val="00D40C85"/>
    <w:rsid w:val="00D42717"/>
    <w:rsid w:val="00D42857"/>
    <w:rsid w:val="00D42DC1"/>
    <w:rsid w:val="00D456A5"/>
    <w:rsid w:val="00D45880"/>
    <w:rsid w:val="00D46D13"/>
    <w:rsid w:val="00D46E83"/>
    <w:rsid w:val="00D47244"/>
    <w:rsid w:val="00D50C23"/>
    <w:rsid w:val="00D50CFD"/>
    <w:rsid w:val="00D50F0F"/>
    <w:rsid w:val="00D52004"/>
    <w:rsid w:val="00D54C37"/>
    <w:rsid w:val="00D553D5"/>
    <w:rsid w:val="00D56E39"/>
    <w:rsid w:val="00D576B8"/>
    <w:rsid w:val="00D5783E"/>
    <w:rsid w:val="00D63666"/>
    <w:rsid w:val="00D64AEA"/>
    <w:rsid w:val="00D64E2B"/>
    <w:rsid w:val="00D679B9"/>
    <w:rsid w:val="00D70D02"/>
    <w:rsid w:val="00D73776"/>
    <w:rsid w:val="00D73B81"/>
    <w:rsid w:val="00D73E4C"/>
    <w:rsid w:val="00D75300"/>
    <w:rsid w:val="00D76ADB"/>
    <w:rsid w:val="00D81152"/>
    <w:rsid w:val="00D917A8"/>
    <w:rsid w:val="00D91E7C"/>
    <w:rsid w:val="00D93A39"/>
    <w:rsid w:val="00D95511"/>
    <w:rsid w:val="00D96512"/>
    <w:rsid w:val="00D96541"/>
    <w:rsid w:val="00D96E6E"/>
    <w:rsid w:val="00D971A8"/>
    <w:rsid w:val="00D97239"/>
    <w:rsid w:val="00DA036C"/>
    <w:rsid w:val="00DA1545"/>
    <w:rsid w:val="00DA191A"/>
    <w:rsid w:val="00DA1B3D"/>
    <w:rsid w:val="00DA4615"/>
    <w:rsid w:val="00DA5B0C"/>
    <w:rsid w:val="00DA6544"/>
    <w:rsid w:val="00DB1F36"/>
    <w:rsid w:val="00DB4083"/>
    <w:rsid w:val="00DB40FD"/>
    <w:rsid w:val="00DB456F"/>
    <w:rsid w:val="00DB5A9C"/>
    <w:rsid w:val="00DB6E02"/>
    <w:rsid w:val="00DB6E44"/>
    <w:rsid w:val="00DB6F80"/>
    <w:rsid w:val="00DC233A"/>
    <w:rsid w:val="00DC479F"/>
    <w:rsid w:val="00DC6AC3"/>
    <w:rsid w:val="00DD2179"/>
    <w:rsid w:val="00DD26CB"/>
    <w:rsid w:val="00DD362A"/>
    <w:rsid w:val="00DD4C38"/>
    <w:rsid w:val="00DD5850"/>
    <w:rsid w:val="00DD597A"/>
    <w:rsid w:val="00DD6AC9"/>
    <w:rsid w:val="00DD7C57"/>
    <w:rsid w:val="00DE01F1"/>
    <w:rsid w:val="00DE0C57"/>
    <w:rsid w:val="00DE2AD7"/>
    <w:rsid w:val="00DE2F85"/>
    <w:rsid w:val="00DE3715"/>
    <w:rsid w:val="00DE3ABF"/>
    <w:rsid w:val="00DE626F"/>
    <w:rsid w:val="00DE68DB"/>
    <w:rsid w:val="00DF1412"/>
    <w:rsid w:val="00DF34BD"/>
    <w:rsid w:val="00DF66D4"/>
    <w:rsid w:val="00DF74A5"/>
    <w:rsid w:val="00DF77B9"/>
    <w:rsid w:val="00E00B61"/>
    <w:rsid w:val="00E020DC"/>
    <w:rsid w:val="00E02834"/>
    <w:rsid w:val="00E02CF1"/>
    <w:rsid w:val="00E04059"/>
    <w:rsid w:val="00E04F27"/>
    <w:rsid w:val="00E05D17"/>
    <w:rsid w:val="00E10417"/>
    <w:rsid w:val="00E10D4A"/>
    <w:rsid w:val="00E12D0A"/>
    <w:rsid w:val="00E1328D"/>
    <w:rsid w:val="00E16956"/>
    <w:rsid w:val="00E16BC6"/>
    <w:rsid w:val="00E20CD0"/>
    <w:rsid w:val="00E21305"/>
    <w:rsid w:val="00E21A1C"/>
    <w:rsid w:val="00E22906"/>
    <w:rsid w:val="00E22A4F"/>
    <w:rsid w:val="00E23372"/>
    <w:rsid w:val="00E2771A"/>
    <w:rsid w:val="00E32197"/>
    <w:rsid w:val="00E335CC"/>
    <w:rsid w:val="00E36968"/>
    <w:rsid w:val="00E36A29"/>
    <w:rsid w:val="00E37BBB"/>
    <w:rsid w:val="00E414E1"/>
    <w:rsid w:val="00E41DA4"/>
    <w:rsid w:val="00E42B76"/>
    <w:rsid w:val="00E4374E"/>
    <w:rsid w:val="00E45E4C"/>
    <w:rsid w:val="00E46465"/>
    <w:rsid w:val="00E5011A"/>
    <w:rsid w:val="00E52DC0"/>
    <w:rsid w:val="00E53C25"/>
    <w:rsid w:val="00E57270"/>
    <w:rsid w:val="00E61180"/>
    <w:rsid w:val="00E61282"/>
    <w:rsid w:val="00E6380E"/>
    <w:rsid w:val="00E666E3"/>
    <w:rsid w:val="00E67809"/>
    <w:rsid w:val="00E67A0C"/>
    <w:rsid w:val="00E67CFD"/>
    <w:rsid w:val="00E71085"/>
    <w:rsid w:val="00E7200B"/>
    <w:rsid w:val="00E772E1"/>
    <w:rsid w:val="00E77F3D"/>
    <w:rsid w:val="00E807B7"/>
    <w:rsid w:val="00E8444C"/>
    <w:rsid w:val="00E8663E"/>
    <w:rsid w:val="00E87FC0"/>
    <w:rsid w:val="00E94475"/>
    <w:rsid w:val="00E94C6A"/>
    <w:rsid w:val="00E978D4"/>
    <w:rsid w:val="00EA0D50"/>
    <w:rsid w:val="00EA16C0"/>
    <w:rsid w:val="00EA395F"/>
    <w:rsid w:val="00EA489A"/>
    <w:rsid w:val="00EA7121"/>
    <w:rsid w:val="00EB0B55"/>
    <w:rsid w:val="00EB0C1D"/>
    <w:rsid w:val="00EB1F1C"/>
    <w:rsid w:val="00EB23C9"/>
    <w:rsid w:val="00EB2B99"/>
    <w:rsid w:val="00EB3019"/>
    <w:rsid w:val="00EB4E69"/>
    <w:rsid w:val="00EB6BCC"/>
    <w:rsid w:val="00EB7D12"/>
    <w:rsid w:val="00EC5640"/>
    <w:rsid w:val="00EC6251"/>
    <w:rsid w:val="00EC79F7"/>
    <w:rsid w:val="00ED1AA3"/>
    <w:rsid w:val="00ED2735"/>
    <w:rsid w:val="00ED3083"/>
    <w:rsid w:val="00ED597D"/>
    <w:rsid w:val="00ED691C"/>
    <w:rsid w:val="00EE0976"/>
    <w:rsid w:val="00EE0A88"/>
    <w:rsid w:val="00EE0C0D"/>
    <w:rsid w:val="00EE2A29"/>
    <w:rsid w:val="00EE2A91"/>
    <w:rsid w:val="00EE3309"/>
    <w:rsid w:val="00EE44F0"/>
    <w:rsid w:val="00EE473B"/>
    <w:rsid w:val="00EE7BB5"/>
    <w:rsid w:val="00EE7EA6"/>
    <w:rsid w:val="00EF2877"/>
    <w:rsid w:val="00EF4BBC"/>
    <w:rsid w:val="00EF6286"/>
    <w:rsid w:val="00EF6CF2"/>
    <w:rsid w:val="00EF7175"/>
    <w:rsid w:val="00EF76D5"/>
    <w:rsid w:val="00EF78B3"/>
    <w:rsid w:val="00F00218"/>
    <w:rsid w:val="00F013D0"/>
    <w:rsid w:val="00F015CE"/>
    <w:rsid w:val="00F046AE"/>
    <w:rsid w:val="00F05901"/>
    <w:rsid w:val="00F06283"/>
    <w:rsid w:val="00F0713B"/>
    <w:rsid w:val="00F10B2B"/>
    <w:rsid w:val="00F12577"/>
    <w:rsid w:val="00F12F5F"/>
    <w:rsid w:val="00F158F7"/>
    <w:rsid w:val="00F203CE"/>
    <w:rsid w:val="00F215D8"/>
    <w:rsid w:val="00F23147"/>
    <w:rsid w:val="00F24BFB"/>
    <w:rsid w:val="00F258D9"/>
    <w:rsid w:val="00F27B3C"/>
    <w:rsid w:val="00F3028D"/>
    <w:rsid w:val="00F30859"/>
    <w:rsid w:val="00F3457B"/>
    <w:rsid w:val="00F35CF5"/>
    <w:rsid w:val="00F37281"/>
    <w:rsid w:val="00F40A0D"/>
    <w:rsid w:val="00F40E6A"/>
    <w:rsid w:val="00F413D2"/>
    <w:rsid w:val="00F42211"/>
    <w:rsid w:val="00F47A14"/>
    <w:rsid w:val="00F47B3C"/>
    <w:rsid w:val="00F51221"/>
    <w:rsid w:val="00F5257C"/>
    <w:rsid w:val="00F54C37"/>
    <w:rsid w:val="00F56A12"/>
    <w:rsid w:val="00F57CD2"/>
    <w:rsid w:val="00F61957"/>
    <w:rsid w:val="00F63F93"/>
    <w:rsid w:val="00F64CAC"/>
    <w:rsid w:val="00F66D15"/>
    <w:rsid w:val="00F67C2C"/>
    <w:rsid w:val="00F70151"/>
    <w:rsid w:val="00F70E47"/>
    <w:rsid w:val="00F7301D"/>
    <w:rsid w:val="00F73936"/>
    <w:rsid w:val="00F74334"/>
    <w:rsid w:val="00F744E3"/>
    <w:rsid w:val="00F747D3"/>
    <w:rsid w:val="00F768D6"/>
    <w:rsid w:val="00F82214"/>
    <w:rsid w:val="00F84703"/>
    <w:rsid w:val="00F91217"/>
    <w:rsid w:val="00F9121B"/>
    <w:rsid w:val="00F92DED"/>
    <w:rsid w:val="00F94539"/>
    <w:rsid w:val="00F974DA"/>
    <w:rsid w:val="00FA0539"/>
    <w:rsid w:val="00FA2DAE"/>
    <w:rsid w:val="00FA2E02"/>
    <w:rsid w:val="00FA521B"/>
    <w:rsid w:val="00FA5335"/>
    <w:rsid w:val="00FA6597"/>
    <w:rsid w:val="00FB003F"/>
    <w:rsid w:val="00FB013E"/>
    <w:rsid w:val="00FB1E45"/>
    <w:rsid w:val="00FB23A3"/>
    <w:rsid w:val="00FB2DCE"/>
    <w:rsid w:val="00FB3EC3"/>
    <w:rsid w:val="00FB3F69"/>
    <w:rsid w:val="00FB45AE"/>
    <w:rsid w:val="00FB50BF"/>
    <w:rsid w:val="00FB5902"/>
    <w:rsid w:val="00FB64B2"/>
    <w:rsid w:val="00FB652B"/>
    <w:rsid w:val="00FB6C71"/>
    <w:rsid w:val="00FB79DA"/>
    <w:rsid w:val="00FC14E4"/>
    <w:rsid w:val="00FC2764"/>
    <w:rsid w:val="00FC69E2"/>
    <w:rsid w:val="00FC78F3"/>
    <w:rsid w:val="00FD03C4"/>
    <w:rsid w:val="00FD117C"/>
    <w:rsid w:val="00FD2B3D"/>
    <w:rsid w:val="00FD34AF"/>
    <w:rsid w:val="00FD51DC"/>
    <w:rsid w:val="00FD5C3A"/>
    <w:rsid w:val="00FD5E99"/>
    <w:rsid w:val="00FD66C8"/>
    <w:rsid w:val="00FE00E0"/>
    <w:rsid w:val="00FE5580"/>
    <w:rsid w:val="00FE57F6"/>
    <w:rsid w:val="00FE7A78"/>
    <w:rsid w:val="00FE7EF9"/>
    <w:rsid w:val="00FF0E62"/>
    <w:rsid w:val="00FF2F6C"/>
    <w:rsid w:val="00FF3594"/>
    <w:rsid w:val="00FF3E6D"/>
    <w:rsid w:val="00FF4ADA"/>
    <w:rsid w:val="00FF5058"/>
    <w:rsid w:val="00FF6320"/>
    <w:rsid w:val="00FF6C2F"/>
    <w:rsid w:val="00FF7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5C95846-71FD-441E-96E9-4ED5CEF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1026"/>
    <w:pPr>
      <w:spacing w:before="120" w:after="120"/>
    </w:pPr>
    <w:rPr>
      <w:rFonts w:ascii="Arial" w:hAnsi="Arial"/>
      <w:sz w:val="24"/>
      <w:szCs w:val="24"/>
    </w:rPr>
  </w:style>
  <w:style w:type="paragraph" w:styleId="Heading1">
    <w:name w:val="heading 1"/>
    <w:basedOn w:val="Normal"/>
    <w:next w:val="Normal"/>
    <w:qFormat/>
    <w:rsid w:val="00AF2EEA"/>
    <w:pPr>
      <w:keepNext/>
      <w:spacing w:before="240" w:after="60"/>
      <w:outlineLvl w:val="0"/>
    </w:pPr>
    <w:rPr>
      <w:rFonts w:cs="Arial"/>
      <w:b/>
      <w:bCs/>
      <w:kern w:val="32"/>
      <w:sz w:val="32"/>
      <w:szCs w:val="32"/>
    </w:rPr>
  </w:style>
  <w:style w:type="paragraph" w:styleId="Heading2">
    <w:name w:val="heading 2"/>
    <w:basedOn w:val="Normal"/>
    <w:next w:val="Normal"/>
    <w:qFormat/>
    <w:rsid w:val="009F14E8"/>
    <w:pPr>
      <w:keepNext/>
      <w:spacing w:before="240" w:after="60"/>
      <w:outlineLvl w:val="1"/>
    </w:pPr>
    <w:rPr>
      <w:rFonts w:cs="Arial"/>
      <w:b/>
      <w:bCs/>
      <w:i/>
      <w:iCs/>
      <w:sz w:val="28"/>
      <w:szCs w:val="28"/>
    </w:rPr>
  </w:style>
  <w:style w:type="paragraph" w:styleId="Heading3">
    <w:name w:val="heading 3"/>
    <w:basedOn w:val="Normal"/>
    <w:next w:val="Normal"/>
    <w:qFormat/>
    <w:rsid w:val="00691895"/>
    <w:pPr>
      <w:keepNext/>
      <w:spacing w:before="240" w:after="60"/>
      <w:outlineLvl w:val="2"/>
    </w:pPr>
    <w:rPr>
      <w:rFonts w:cs="Arial"/>
      <w:b/>
      <w:bCs/>
      <w:sz w:val="26"/>
      <w:szCs w:val="26"/>
    </w:rPr>
  </w:style>
  <w:style w:type="paragraph" w:styleId="Heading4">
    <w:name w:val="heading 4"/>
    <w:basedOn w:val="Style4"/>
    <w:next w:val="Normal"/>
    <w:link w:val="Heading4Char"/>
    <w:qFormat/>
    <w:rsid w:val="000C0E48"/>
    <w:pPr>
      <w:numPr>
        <w:numId w:val="4"/>
      </w:numPr>
      <w:outlineLvl w:val="3"/>
    </w:pPr>
  </w:style>
  <w:style w:type="paragraph" w:styleId="Heading5">
    <w:name w:val="heading 5"/>
    <w:basedOn w:val="ListBullet"/>
    <w:next w:val="Normal"/>
    <w:qFormat/>
    <w:rsid w:val="000C0E48"/>
    <w:pPr>
      <w:numPr>
        <w:ilvl w:val="1"/>
        <w:numId w:val="4"/>
      </w:numPr>
      <w:outlineLvl w:val="4"/>
    </w:pPr>
  </w:style>
  <w:style w:type="paragraph" w:styleId="Heading6">
    <w:name w:val="heading 6"/>
    <w:basedOn w:val="ListNumber"/>
    <w:next w:val="Normal"/>
    <w:qFormat/>
    <w:rsid w:val="00693688"/>
    <w:pPr>
      <w:numPr>
        <w:ilvl w:val="2"/>
        <w:numId w:val="4"/>
      </w:numPr>
      <w:outlineLvl w:val="5"/>
    </w:pPr>
  </w:style>
  <w:style w:type="paragraph" w:styleId="Heading7">
    <w:name w:val="heading 7"/>
    <w:basedOn w:val="Normal"/>
    <w:next w:val="Normal"/>
    <w:link w:val="Heading7Char"/>
    <w:unhideWhenUsed/>
    <w:qFormat/>
    <w:rsid w:val="00E67A0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67A0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E67A0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16327"/>
    <w:pPr>
      <w:tabs>
        <w:tab w:val="center" w:pos="4320"/>
        <w:tab w:val="right" w:pos="8640"/>
      </w:tabs>
    </w:pPr>
  </w:style>
  <w:style w:type="paragraph" w:styleId="Footer">
    <w:name w:val="footer"/>
    <w:basedOn w:val="Normal"/>
    <w:link w:val="FooterChar"/>
    <w:rsid w:val="00E16327"/>
    <w:pPr>
      <w:tabs>
        <w:tab w:val="center" w:pos="4320"/>
        <w:tab w:val="right" w:pos="8640"/>
      </w:tabs>
    </w:pPr>
  </w:style>
  <w:style w:type="character" w:styleId="PageNumber">
    <w:name w:val="page number"/>
    <w:basedOn w:val="DefaultParagraphFont"/>
    <w:rsid w:val="00E16327"/>
  </w:style>
  <w:style w:type="paragraph" w:styleId="ListBullet2">
    <w:name w:val="List Bullet 2"/>
    <w:basedOn w:val="Normal"/>
    <w:rsid w:val="00E16327"/>
    <w:pPr>
      <w:numPr>
        <w:numId w:val="2"/>
      </w:numPr>
    </w:pPr>
  </w:style>
  <w:style w:type="paragraph" w:styleId="ListBullet">
    <w:name w:val="List Bullet"/>
    <w:basedOn w:val="Normal"/>
    <w:link w:val="ListBulletChar"/>
    <w:rsid w:val="00E16327"/>
    <w:pPr>
      <w:numPr>
        <w:numId w:val="1"/>
      </w:numPr>
    </w:pPr>
  </w:style>
  <w:style w:type="paragraph" w:styleId="ListBullet3">
    <w:name w:val="List Bullet 3"/>
    <w:basedOn w:val="Normal"/>
    <w:rsid w:val="00E16327"/>
    <w:pPr>
      <w:numPr>
        <w:numId w:val="3"/>
      </w:numPr>
    </w:pPr>
  </w:style>
  <w:style w:type="paragraph" w:customStyle="1" w:styleId="Style1">
    <w:name w:val="Style1"/>
    <w:basedOn w:val="Title"/>
    <w:next w:val="Title"/>
    <w:rsid w:val="00AF2EEA"/>
  </w:style>
  <w:style w:type="paragraph" w:customStyle="1" w:styleId="Style2">
    <w:name w:val="Style2"/>
    <w:basedOn w:val="Heading1"/>
    <w:next w:val="Heading1"/>
    <w:rsid w:val="00AF2EEA"/>
  </w:style>
  <w:style w:type="paragraph" w:styleId="Title">
    <w:name w:val="Title"/>
    <w:basedOn w:val="Normal"/>
    <w:qFormat/>
    <w:rsid w:val="00AF2EEA"/>
    <w:pPr>
      <w:spacing w:before="240" w:after="60"/>
      <w:jc w:val="center"/>
      <w:outlineLvl w:val="0"/>
    </w:pPr>
    <w:rPr>
      <w:rFonts w:cs="Arial"/>
      <w:b/>
      <w:bCs/>
      <w:kern w:val="28"/>
      <w:sz w:val="32"/>
      <w:szCs w:val="32"/>
    </w:rPr>
  </w:style>
  <w:style w:type="paragraph" w:customStyle="1" w:styleId="Style3">
    <w:name w:val="Style3"/>
    <w:basedOn w:val="Style2"/>
    <w:rsid w:val="00AF2EEA"/>
    <w:rPr>
      <w:sz w:val="24"/>
    </w:rPr>
  </w:style>
  <w:style w:type="numbering" w:styleId="111111">
    <w:name w:val="Outline List 2"/>
    <w:basedOn w:val="NoList"/>
    <w:rsid w:val="00AF2EEA"/>
    <w:pPr>
      <w:numPr>
        <w:numId w:val="4"/>
      </w:numPr>
    </w:pPr>
  </w:style>
  <w:style w:type="paragraph" w:styleId="ListNumber">
    <w:name w:val="List Number"/>
    <w:basedOn w:val="Normal"/>
    <w:link w:val="ListNumberChar"/>
    <w:uiPriority w:val="99"/>
    <w:rsid w:val="00AF2EEA"/>
  </w:style>
  <w:style w:type="paragraph" w:styleId="ListBullet4">
    <w:name w:val="List Bullet 4"/>
    <w:basedOn w:val="Normal"/>
    <w:link w:val="ListBullet4Char"/>
    <w:rsid w:val="00DE1735"/>
    <w:pPr>
      <w:numPr>
        <w:numId w:val="5"/>
      </w:numPr>
      <w:ind w:left="1800"/>
    </w:pPr>
  </w:style>
  <w:style w:type="character" w:customStyle="1" w:styleId="ListBullet4Char">
    <w:name w:val="List Bullet 4 Char"/>
    <w:basedOn w:val="DefaultParagraphFont"/>
    <w:link w:val="ListBullet4"/>
    <w:rsid w:val="00DE1735"/>
    <w:rPr>
      <w:rFonts w:ascii="Arial" w:hAnsi="Arial"/>
      <w:sz w:val="24"/>
      <w:szCs w:val="24"/>
    </w:rPr>
  </w:style>
  <w:style w:type="character" w:customStyle="1" w:styleId="ListBulletChar">
    <w:name w:val="List Bullet Char"/>
    <w:basedOn w:val="DefaultParagraphFont"/>
    <w:link w:val="ListBullet"/>
    <w:rsid w:val="00575E89"/>
    <w:rPr>
      <w:rFonts w:ascii="Arial" w:hAnsi="Arial"/>
      <w:sz w:val="24"/>
      <w:szCs w:val="24"/>
    </w:rPr>
  </w:style>
  <w:style w:type="paragraph" w:styleId="DocumentMap">
    <w:name w:val="Document Map"/>
    <w:basedOn w:val="Normal"/>
    <w:semiHidden/>
    <w:rsid w:val="0098486D"/>
    <w:pPr>
      <w:shd w:val="clear" w:color="auto" w:fill="000080"/>
    </w:pPr>
    <w:rPr>
      <w:rFonts w:ascii="Tahoma" w:hAnsi="Tahoma" w:cs="Tahoma"/>
      <w:sz w:val="20"/>
      <w:szCs w:val="20"/>
    </w:rPr>
  </w:style>
  <w:style w:type="paragraph" w:styleId="TOC1">
    <w:name w:val="toc 1"/>
    <w:basedOn w:val="Normal"/>
    <w:next w:val="Normal"/>
    <w:autoRedefine/>
    <w:uiPriority w:val="39"/>
    <w:rsid w:val="00F7301D"/>
  </w:style>
  <w:style w:type="character" w:styleId="Hyperlink">
    <w:name w:val="Hyperlink"/>
    <w:basedOn w:val="DefaultParagraphFont"/>
    <w:uiPriority w:val="99"/>
    <w:rsid w:val="00F7301D"/>
    <w:rPr>
      <w:color w:val="0000FF"/>
      <w:u w:val="single"/>
    </w:rPr>
  </w:style>
  <w:style w:type="paragraph" w:customStyle="1" w:styleId="Style4">
    <w:name w:val="Style4"/>
    <w:basedOn w:val="ListNumber"/>
    <w:link w:val="Style4Char"/>
    <w:rsid w:val="000C0E48"/>
    <w:pPr>
      <w:numPr>
        <w:numId w:val="6"/>
      </w:numPr>
    </w:pPr>
    <w:rPr>
      <w:rFonts w:ascii="Arial Bold" w:hAnsi="Arial Bold"/>
      <w:b/>
    </w:rPr>
  </w:style>
  <w:style w:type="paragraph" w:styleId="TOC4">
    <w:name w:val="toc 4"/>
    <w:basedOn w:val="Normal"/>
    <w:next w:val="Normal"/>
    <w:autoRedefine/>
    <w:semiHidden/>
    <w:rsid w:val="000C0E48"/>
    <w:pPr>
      <w:ind w:left="720"/>
    </w:pPr>
  </w:style>
  <w:style w:type="paragraph" w:styleId="TOC5">
    <w:name w:val="toc 5"/>
    <w:basedOn w:val="Normal"/>
    <w:next w:val="Normal"/>
    <w:autoRedefine/>
    <w:semiHidden/>
    <w:rsid w:val="00693688"/>
    <w:pPr>
      <w:ind w:left="960"/>
    </w:pPr>
  </w:style>
  <w:style w:type="paragraph" w:styleId="TOC6">
    <w:name w:val="toc 6"/>
    <w:basedOn w:val="Normal"/>
    <w:next w:val="Normal"/>
    <w:autoRedefine/>
    <w:semiHidden/>
    <w:rsid w:val="00693688"/>
    <w:pPr>
      <w:ind w:left="1200"/>
    </w:pPr>
  </w:style>
  <w:style w:type="paragraph" w:customStyle="1" w:styleId="indent14">
    <w:name w:val="indent 1/4&quot;"/>
    <w:basedOn w:val="Normal"/>
    <w:link w:val="indent14Char"/>
    <w:rsid w:val="00691895"/>
    <w:pPr>
      <w:spacing w:before="0" w:after="0"/>
      <w:ind w:left="360"/>
    </w:pPr>
    <w:rPr>
      <w:rFonts w:ascii="Times New Roman" w:hAnsi="Times New Roman"/>
      <w:sz w:val="22"/>
      <w:szCs w:val="22"/>
    </w:rPr>
  </w:style>
  <w:style w:type="character" w:customStyle="1" w:styleId="indent14Char">
    <w:name w:val="indent 1/4&quot; Char"/>
    <w:basedOn w:val="DefaultParagraphFont"/>
    <w:link w:val="indent14"/>
    <w:rsid w:val="00691895"/>
    <w:rPr>
      <w:sz w:val="22"/>
      <w:szCs w:val="22"/>
      <w:lang w:val="en-US" w:eastAsia="en-US" w:bidi="ar-SA"/>
    </w:rPr>
  </w:style>
  <w:style w:type="paragraph" w:styleId="TOC3">
    <w:name w:val="toc 3"/>
    <w:basedOn w:val="Normal"/>
    <w:next w:val="Normal"/>
    <w:autoRedefine/>
    <w:semiHidden/>
    <w:rsid w:val="00216A9C"/>
    <w:pPr>
      <w:ind w:left="480"/>
    </w:pPr>
  </w:style>
  <w:style w:type="paragraph" w:styleId="ListNumber2">
    <w:name w:val="List Number 2"/>
    <w:basedOn w:val="Normal"/>
    <w:rsid w:val="00216A9C"/>
    <w:pPr>
      <w:numPr>
        <w:numId w:val="8"/>
      </w:numPr>
    </w:pPr>
  </w:style>
  <w:style w:type="table" w:styleId="TableGrid">
    <w:name w:val="Table Grid"/>
    <w:basedOn w:val="TableNormal"/>
    <w:rsid w:val="009F1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QATable">
    <w:name w:val="QA Table"/>
    <w:basedOn w:val="TableContemporary"/>
    <w:rsid w:val="009F14E8"/>
    <w:pPr>
      <w:spacing w:before="0" w:after="0"/>
    </w:p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ontemporary">
    <w:name w:val="Table Contemporary"/>
    <w:basedOn w:val="TableNormal"/>
    <w:rsid w:val="009F14E8"/>
    <w:pPr>
      <w:spacing w:before="120" w:after="12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Default">
    <w:name w:val="Default"/>
    <w:rsid w:val="002D4EBC"/>
    <w:pPr>
      <w:autoSpaceDE w:val="0"/>
      <w:autoSpaceDN w:val="0"/>
      <w:adjustRightInd w:val="0"/>
    </w:pPr>
    <w:rPr>
      <w:rFonts w:ascii="Book Antiqua" w:hAnsi="Book Antiqua" w:cs="Book Antiqua"/>
      <w:color w:val="000000"/>
      <w:sz w:val="24"/>
      <w:szCs w:val="24"/>
    </w:rPr>
  </w:style>
  <w:style w:type="paragraph" w:styleId="FootnoteText">
    <w:name w:val="footnote text"/>
    <w:basedOn w:val="Normal"/>
    <w:semiHidden/>
    <w:rsid w:val="00875B6E"/>
    <w:pPr>
      <w:spacing w:before="0" w:after="0"/>
    </w:pPr>
    <w:rPr>
      <w:rFonts w:ascii="Times New Roman" w:hAnsi="Times New Roman"/>
      <w:sz w:val="20"/>
      <w:szCs w:val="20"/>
    </w:rPr>
  </w:style>
  <w:style w:type="character" w:styleId="FootnoteReference">
    <w:name w:val="footnote reference"/>
    <w:basedOn w:val="DefaultParagraphFont"/>
    <w:semiHidden/>
    <w:rsid w:val="00875B6E"/>
    <w:rPr>
      <w:vertAlign w:val="superscript"/>
    </w:rPr>
  </w:style>
  <w:style w:type="paragraph" w:customStyle="1" w:styleId="circlebullet">
    <w:name w:val="circle bullet"/>
    <w:basedOn w:val="Normal"/>
    <w:rsid w:val="002F41D5"/>
    <w:pPr>
      <w:spacing w:before="0" w:after="0"/>
    </w:pPr>
    <w:rPr>
      <w:rFonts w:ascii="Times New Roman" w:hAnsi="Times New Roman"/>
    </w:rPr>
  </w:style>
  <w:style w:type="paragraph" w:customStyle="1" w:styleId="chap5sub">
    <w:name w:val="chap 5 sub"/>
    <w:basedOn w:val="Normal"/>
    <w:rsid w:val="002F41D5"/>
    <w:pPr>
      <w:tabs>
        <w:tab w:val="num" w:pos="360"/>
        <w:tab w:val="num" w:pos="1080"/>
      </w:tabs>
      <w:overflowPunct w:val="0"/>
      <w:autoSpaceDE w:val="0"/>
      <w:autoSpaceDN w:val="0"/>
      <w:adjustRightInd w:val="0"/>
      <w:spacing w:before="0" w:after="0"/>
      <w:ind w:left="1080" w:hanging="360"/>
      <w:textAlignment w:val="baseline"/>
    </w:pPr>
    <w:rPr>
      <w:rFonts w:ascii="Times New Roman" w:hAnsi="Times New Roman"/>
      <w:szCs w:val="20"/>
    </w:rPr>
  </w:style>
  <w:style w:type="paragraph" w:styleId="PlainText">
    <w:name w:val="Plain Text"/>
    <w:basedOn w:val="Normal"/>
    <w:link w:val="PlainTextChar"/>
    <w:uiPriority w:val="99"/>
    <w:rsid w:val="002F41D5"/>
    <w:pPr>
      <w:spacing w:before="0" w:after="0"/>
    </w:pPr>
    <w:rPr>
      <w:rFonts w:ascii="Courier New" w:hAnsi="Courier New" w:cs="Courier New"/>
      <w:sz w:val="20"/>
      <w:szCs w:val="20"/>
    </w:rPr>
  </w:style>
  <w:style w:type="paragraph" w:customStyle="1" w:styleId="listbullet1">
    <w:name w:val="list bullet 1"/>
    <w:basedOn w:val="Normal"/>
    <w:link w:val="listbullet1Char"/>
    <w:rsid w:val="002F41D5"/>
    <w:pPr>
      <w:numPr>
        <w:ilvl w:val="2"/>
        <w:numId w:val="9"/>
      </w:numPr>
      <w:tabs>
        <w:tab w:val="clear" w:pos="2340"/>
        <w:tab w:val="num" w:pos="360"/>
      </w:tabs>
      <w:spacing w:before="60" w:after="0"/>
      <w:ind w:left="360"/>
    </w:pPr>
    <w:rPr>
      <w:rFonts w:ascii="Times New Roman" w:hAnsi="Times New Roman"/>
      <w:sz w:val="22"/>
      <w:szCs w:val="22"/>
    </w:rPr>
  </w:style>
  <w:style w:type="paragraph" w:customStyle="1" w:styleId="colbullet">
    <w:name w:val="col bullet"/>
    <w:basedOn w:val="Normal"/>
    <w:rsid w:val="002F41D5"/>
    <w:pPr>
      <w:numPr>
        <w:numId w:val="10"/>
      </w:numPr>
      <w:spacing w:before="40" w:after="20"/>
    </w:pPr>
    <w:rPr>
      <w:rFonts w:cs="Arial"/>
      <w:sz w:val="18"/>
      <w:szCs w:val="18"/>
    </w:rPr>
  </w:style>
  <w:style w:type="character" w:customStyle="1" w:styleId="listbullet1Char">
    <w:name w:val="list bullet 1 Char"/>
    <w:basedOn w:val="DefaultParagraphFont"/>
    <w:link w:val="listbullet1"/>
    <w:rsid w:val="00B95E2D"/>
    <w:rPr>
      <w:sz w:val="22"/>
      <w:szCs w:val="22"/>
    </w:rPr>
  </w:style>
  <w:style w:type="paragraph" w:styleId="ListBullet5">
    <w:name w:val="List Bullet 5"/>
    <w:basedOn w:val="Normal"/>
    <w:rsid w:val="00B95E2D"/>
    <w:pPr>
      <w:numPr>
        <w:numId w:val="7"/>
      </w:numPr>
    </w:pPr>
  </w:style>
  <w:style w:type="paragraph" w:styleId="BalloonText">
    <w:name w:val="Balloon Text"/>
    <w:basedOn w:val="Normal"/>
    <w:link w:val="BalloonTextChar"/>
    <w:uiPriority w:val="99"/>
    <w:semiHidden/>
    <w:rsid w:val="00FD66C8"/>
    <w:rPr>
      <w:rFonts w:ascii="Tahoma" w:hAnsi="Tahoma" w:cs="Tahoma"/>
      <w:sz w:val="16"/>
      <w:szCs w:val="16"/>
    </w:rPr>
  </w:style>
  <w:style w:type="paragraph" w:styleId="ListParagraph">
    <w:name w:val="List Paragraph"/>
    <w:basedOn w:val="Normal"/>
    <w:link w:val="ListParagraphChar"/>
    <w:uiPriority w:val="34"/>
    <w:qFormat/>
    <w:rsid w:val="00B85C81"/>
    <w:pPr>
      <w:spacing w:before="0" w:after="0"/>
      <w:ind w:left="720"/>
      <w:contextualSpacing/>
    </w:pPr>
    <w:rPr>
      <w:rFonts w:ascii="Times New Roman" w:hAnsi="Times New Roman"/>
    </w:rPr>
  </w:style>
  <w:style w:type="character" w:styleId="CommentReference">
    <w:name w:val="annotation reference"/>
    <w:basedOn w:val="DefaultParagraphFont"/>
    <w:uiPriority w:val="99"/>
    <w:semiHidden/>
    <w:rsid w:val="00480DC6"/>
    <w:rPr>
      <w:sz w:val="16"/>
      <w:szCs w:val="16"/>
    </w:rPr>
  </w:style>
  <w:style w:type="paragraph" w:styleId="CommentText">
    <w:name w:val="annotation text"/>
    <w:basedOn w:val="Normal"/>
    <w:link w:val="CommentTextChar"/>
    <w:uiPriority w:val="99"/>
    <w:semiHidden/>
    <w:rsid w:val="00480DC6"/>
    <w:rPr>
      <w:sz w:val="20"/>
      <w:szCs w:val="20"/>
    </w:rPr>
  </w:style>
  <w:style w:type="paragraph" w:styleId="CommentSubject">
    <w:name w:val="annotation subject"/>
    <w:basedOn w:val="CommentText"/>
    <w:next w:val="CommentText"/>
    <w:link w:val="CommentSubjectChar"/>
    <w:semiHidden/>
    <w:rsid w:val="00480DC6"/>
    <w:rPr>
      <w:b/>
      <w:bCs/>
    </w:rPr>
  </w:style>
  <w:style w:type="paragraph" w:customStyle="1" w:styleId="CM22">
    <w:name w:val="CM22"/>
    <w:basedOn w:val="Default"/>
    <w:next w:val="Default"/>
    <w:uiPriority w:val="99"/>
    <w:rsid w:val="00FE7EF9"/>
    <w:rPr>
      <w:rFonts w:ascii="Arial" w:hAnsi="Arial" w:cs="Arial"/>
      <w:color w:val="auto"/>
    </w:rPr>
  </w:style>
  <w:style w:type="paragraph" w:customStyle="1" w:styleId="CM4">
    <w:name w:val="CM4"/>
    <w:basedOn w:val="Default"/>
    <w:next w:val="Default"/>
    <w:uiPriority w:val="99"/>
    <w:rsid w:val="00FE7EF9"/>
    <w:pPr>
      <w:spacing w:line="258" w:lineRule="atLeast"/>
    </w:pPr>
    <w:rPr>
      <w:rFonts w:ascii="Arial" w:hAnsi="Arial" w:cs="Arial"/>
      <w:color w:val="auto"/>
    </w:rPr>
  </w:style>
  <w:style w:type="paragraph" w:customStyle="1" w:styleId="CM1">
    <w:name w:val="CM1"/>
    <w:basedOn w:val="Default"/>
    <w:next w:val="Default"/>
    <w:uiPriority w:val="99"/>
    <w:rsid w:val="00FE7EF9"/>
    <w:pPr>
      <w:spacing w:line="251" w:lineRule="atLeast"/>
    </w:pPr>
    <w:rPr>
      <w:rFonts w:ascii="Arial" w:hAnsi="Arial" w:cs="Arial"/>
      <w:color w:val="auto"/>
    </w:rPr>
  </w:style>
  <w:style w:type="paragraph" w:customStyle="1" w:styleId="CM11">
    <w:name w:val="CM11"/>
    <w:basedOn w:val="Default"/>
    <w:next w:val="Default"/>
    <w:uiPriority w:val="99"/>
    <w:rsid w:val="00FE7EF9"/>
    <w:pPr>
      <w:spacing w:line="256" w:lineRule="atLeast"/>
    </w:pPr>
    <w:rPr>
      <w:rFonts w:ascii="Arial" w:hAnsi="Arial" w:cs="Arial"/>
      <w:color w:val="auto"/>
    </w:rPr>
  </w:style>
  <w:style w:type="paragraph" w:customStyle="1" w:styleId="CM12">
    <w:name w:val="CM12"/>
    <w:basedOn w:val="Default"/>
    <w:next w:val="Default"/>
    <w:uiPriority w:val="99"/>
    <w:rsid w:val="00FE7EF9"/>
    <w:pPr>
      <w:spacing w:line="253" w:lineRule="atLeast"/>
    </w:pPr>
    <w:rPr>
      <w:rFonts w:ascii="Arial" w:hAnsi="Arial" w:cs="Arial"/>
      <w:color w:val="auto"/>
    </w:rPr>
  </w:style>
  <w:style w:type="paragraph" w:customStyle="1" w:styleId="CM13">
    <w:name w:val="CM13"/>
    <w:basedOn w:val="Default"/>
    <w:next w:val="Default"/>
    <w:uiPriority w:val="99"/>
    <w:rsid w:val="00FE7EF9"/>
    <w:rPr>
      <w:rFonts w:ascii="Arial" w:hAnsi="Arial" w:cs="Arial"/>
      <w:color w:val="auto"/>
    </w:rPr>
  </w:style>
  <w:style w:type="paragraph" w:customStyle="1" w:styleId="CM25">
    <w:name w:val="CM25"/>
    <w:basedOn w:val="Default"/>
    <w:next w:val="Default"/>
    <w:uiPriority w:val="99"/>
    <w:rsid w:val="00FE7EF9"/>
    <w:rPr>
      <w:rFonts w:ascii="Arial" w:hAnsi="Arial" w:cs="Arial"/>
      <w:color w:val="auto"/>
    </w:rPr>
  </w:style>
  <w:style w:type="paragraph" w:customStyle="1" w:styleId="CM24">
    <w:name w:val="CM24"/>
    <w:basedOn w:val="Default"/>
    <w:next w:val="Default"/>
    <w:uiPriority w:val="99"/>
    <w:rsid w:val="00FE7EF9"/>
    <w:rPr>
      <w:rFonts w:ascii="Arial" w:hAnsi="Arial" w:cs="Arial"/>
      <w:color w:val="auto"/>
    </w:rPr>
  </w:style>
  <w:style w:type="paragraph" w:customStyle="1" w:styleId="CM18">
    <w:name w:val="CM18"/>
    <w:basedOn w:val="Default"/>
    <w:next w:val="Default"/>
    <w:uiPriority w:val="99"/>
    <w:rsid w:val="00FE7EF9"/>
    <w:pPr>
      <w:spacing w:line="256" w:lineRule="atLeast"/>
    </w:pPr>
    <w:rPr>
      <w:rFonts w:ascii="Arial" w:hAnsi="Arial" w:cs="Arial"/>
      <w:color w:val="auto"/>
    </w:rPr>
  </w:style>
  <w:style w:type="paragraph" w:customStyle="1" w:styleId="CM9">
    <w:name w:val="CM9"/>
    <w:basedOn w:val="Default"/>
    <w:next w:val="Default"/>
    <w:uiPriority w:val="99"/>
    <w:rsid w:val="00FE7EF9"/>
    <w:pPr>
      <w:spacing w:line="260" w:lineRule="atLeast"/>
    </w:pPr>
    <w:rPr>
      <w:rFonts w:ascii="Arial" w:hAnsi="Arial" w:cs="Arial"/>
      <w:color w:val="auto"/>
    </w:rPr>
  </w:style>
  <w:style w:type="paragraph" w:customStyle="1" w:styleId="CM20">
    <w:name w:val="CM20"/>
    <w:basedOn w:val="Default"/>
    <w:next w:val="Default"/>
    <w:uiPriority w:val="99"/>
    <w:rsid w:val="00FE7EF9"/>
    <w:pPr>
      <w:spacing w:line="423" w:lineRule="atLeast"/>
    </w:pPr>
    <w:rPr>
      <w:rFonts w:ascii="Arial" w:hAnsi="Arial" w:cs="Arial"/>
      <w:color w:val="auto"/>
    </w:rPr>
  </w:style>
  <w:style w:type="paragraph" w:customStyle="1" w:styleId="CM21">
    <w:name w:val="CM21"/>
    <w:basedOn w:val="Default"/>
    <w:next w:val="Default"/>
    <w:uiPriority w:val="99"/>
    <w:rsid w:val="00FE7EF9"/>
    <w:pPr>
      <w:spacing w:line="511" w:lineRule="atLeast"/>
    </w:pPr>
    <w:rPr>
      <w:rFonts w:ascii="Arial" w:hAnsi="Arial" w:cs="Arial"/>
      <w:color w:val="auto"/>
    </w:rPr>
  </w:style>
  <w:style w:type="paragraph" w:customStyle="1" w:styleId="CM23">
    <w:name w:val="CM23"/>
    <w:basedOn w:val="Default"/>
    <w:next w:val="Default"/>
    <w:uiPriority w:val="99"/>
    <w:rsid w:val="00FE7EF9"/>
    <w:rPr>
      <w:rFonts w:ascii="Arial" w:hAnsi="Arial" w:cs="Arial"/>
      <w:color w:val="auto"/>
    </w:rPr>
  </w:style>
  <w:style w:type="character" w:customStyle="1" w:styleId="CommentTextChar">
    <w:name w:val="Comment Text Char"/>
    <w:basedOn w:val="DefaultParagraphFont"/>
    <w:link w:val="CommentText"/>
    <w:uiPriority w:val="99"/>
    <w:semiHidden/>
    <w:rsid w:val="00822259"/>
    <w:rPr>
      <w:rFonts w:ascii="Arial" w:hAnsi="Arial"/>
    </w:rPr>
  </w:style>
  <w:style w:type="character" w:customStyle="1" w:styleId="CommentSubjectChar">
    <w:name w:val="Comment Subject Char"/>
    <w:basedOn w:val="CommentTextChar"/>
    <w:link w:val="CommentSubject"/>
    <w:semiHidden/>
    <w:rsid w:val="003413B3"/>
    <w:rPr>
      <w:rFonts w:ascii="Arial" w:hAnsi="Arial"/>
      <w:b/>
      <w:bCs/>
    </w:rPr>
  </w:style>
  <w:style w:type="character" w:customStyle="1" w:styleId="BalloonTextChar">
    <w:name w:val="Balloon Text Char"/>
    <w:basedOn w:val="DefaultParagraphFont"/>
    <w:link w:val="BalloonText"/>
    <w:uiPriority w:val="99"/>
    <w:semiHidden/>
    <w:rsid w:val="00374341"/>
    <w:rPr>
      <w:rFonts w:ascii="Tahoma" w:hAnsi="Tahoma" w:cs="Tahoma"/>
      <w:sz w:val="16"/>
      <w:szCs w:val="16"/>
    </w:rPr>
  </w:style>
  <w:style w:type="character" w:customStyle="1" w:styleId="Heading7Char">
    <w:name w:val="Heading 7 Char"/>
    <w:basedOn w:val="DefaultParagraphFont"/>
    <w:link w:val="Heading7"/>
    <w:rsid w:val="00E67A0C"/>
    <w:rPr>
      <w:rFonts w:asciiTheme="majorHAnsi" w:eastAsiaTheme="majorEastAsia" w:hAnsiTheme="majorHAnsi" w:cstheme="majorBidi"/>
      <w:i/>
      <w:iCs/>
      <w:color w:val="404040" w:themeColor="text1" w:themeTint="BF"/>
      <w:sz w:val="24"/>
      <w:szCs w:val="24"/>
    </w:rPr>
  </w:style>
  <w:style w:type="character" w:customStyle="1" w:styleId="Heading9Char">
    <w:name w:val="Heading 9 Char"/>
    <w:basedOn w:val="DefaultParagraphFont"/>
    <w:link w:val="Heading9"/>
    <w:rsid w:val="00E67A0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E67A0C"/>
    <w:rPr>
      <w:rFonts w:asciiTheme="majorHAnsi" w:eastAsiaTheme="majorEastAsia" w:hAnsiTheme="majorHAnsi" w:cstheme="majorBidi"/>
      <w:color w:val="404040" w:themeColor="text1" w:themeTint="BF"/>
    </w:rPr>
  </w:style>
  <w:style w:type="paragraph" w:styleId="EndnoteText">
    <w:name w:val="endnote text"/>
    <w:basedOn w:val="Normal"/>
    <w:link w:val="EndnoteTextChar"/>
    <w:rsid w:val="00EA395F"/>
    <w:pPr>
      <w:spacing w:before="0" w:after="0"/>
    </w:pPr>
    <w:rPr>
      <w:sz w:val="20"/>
      <w:szCs w:val="20"/>
    </w:rPr>
  </w:style>
  <w:style w:type="character" w:customStyle="1" w:styleId="EndnoteTextChar">
    <w:name w:val="Endnote Text Char"/>
    <w:basedOn w:val="DefaultParagraphFont"/>
    <w:link w:val="EndnoteText"/>
    <w:rsid w:val="00EA395F"/>
    <w:rPr>
      <w:rFonts w:ascii="Arial" w:hAnsi="Arial"/>
    </w:rPr>
  </w:style>
  <w:style w:type="character" w:styleId="EndnoteReference">
    <w:name w:val="endnote reference"/>
    <w:basedOn w:val="DefaultParagraphFont"/>
    <w:rsid w:val="00EA395F"/>
    <w:rPr>
      <w:vertAlign w:val="superscript"/>
    </w:rPr>
  </w:style>
  <w:style w:type="character" w:customStyle="1" w:styleId="FooterChar">
    <w:name w:val="Footer Char"/>
    <w:basedOn w:val="DefaultParagraphFont"/>
    <w:link w:val="Footer"/>
    <w:rsid w:val="00173C32"/>
    <w:rPr>
      <w:rFonts w:ascii="Arial" w:hAnsi="Arial"/>
      <w:sz w:val="24"/>
      <w:szCs w:val="24"/>
    </w:rPr>
  </w:style>
  <w:style w:type="character" w:styleId="FollowedHyperlink">
    <w:name w:val="FollowedHyperlink"/>
    <w:basedOn w:val="DefaultParagraphFont"/>
    <w:rsid w:val="007B7BEB"/>
    <w:rPr>
      <w:color w:val="800080" w:themeColor="followedHyperlink"/>
      <w:u w:val="single"/>
    </w:rPr>
  </w:style>
  <w:style w:type="paragraph" w:customStyle="1" w:styleId="Outline1">
    <w:name w:val="Outline 1"/>
    <w:basedOn w:val="Heading4"/>
    <w:link w:val="Outline1Char"/>
    <w:autoRedefine/>
    <w:qFormat/>
    <w:rsid w:val="00CD7797"/>
    <w:pPr>
      <w:numPr>
        <w:numId w:val="11"/>
      </w:numPr>
      <w:outlineLvl w:val="1"/>
    </w:pPr>
    <w:rPr>
      <w:rFonts w:asciiTheme="minorHAnsi" w:hAnsiTheme="minorHAnsi"/>
    </w:rPr>
  </w:style>
  <w:style w:type="paragraph" w:customStyle="1" w:styleId="Outline2">
    <w:name w:val="Outline 2"/>
    <w:basedOn w:val="ListParagraph"/>
    <w:link w:val="Outline2Char"/>
    <w:autoRedefine/>
    <w:qFormat/>
    <w:rsid w:val="002D2764"/>
    <w:pPr>
      <w:numPr>
        <w:numId w:val="14"/>
      </w:numPr>
      <w:spacing w:before="120" w:after="120"/>
      <w:ind w:left="720"/>
      <w:contextualSpacing w:val="0"/>
    </w:pPr>
    <w:rPr>
      <w:rFonts w:asciiTheme="minorHAnsi" w:hAnsiTheme="minorHAnsi"/>
    </w:rPr>
  </w:style>
  <w:style w:type="character" w:customStyle="1" w:styleId="ListNumberChar">
    <w:name w:val="List Number Char"/>
    <w:basedOn w:val="DefaultParagraphFont"/>
    <w:link w:val="ListNumber"/>
    <w:uiPriority w:val="99"/>
    <w:rsid w:val="00AC5896"/>
    <w:rPr>
      <w:rFonts w:ascii="Arial" w:hAnsi="Arial"/>
      <w:sz w:val="24"/>
      <w:szCs w:val="24"/>
    </w:rPr>
  </w:style>
  <w:style w:type="character" w:customStyle="1" w:styleId="Style4Char">
    <w:name w:val="Style4 Char"/>
    <w:basedOn w:val="ListNumberChar"/>
    <w:link w:val="Style4"/>
    <w:rsid w:val="00AC5896"/>
    <w:rPr>
      <w:rFonts w:ascii="Arial Bold" w:hAnsi="Arial Bold"/>
      <w:b/>
      <w:sz w:val="24"/>
      <w:szCs w:val="24"/>
    </w:rPr>
  </w:style>
  <w:style w:type="character" w:customStyle="1" w:styleId="Heading4Char">
    <w:name w:val="Heading 4 Char"/>
    <w:basedOn w:val="Style4Char"/>
    <w:link w:val="Heading4"/>
    <w:rsid w:val="00AC5896"/>
    <w:rPr>
      <w:rFonts w:ascii="Arial Bold" w:hAnsi="Arial Bold"/>
      <w:b/>
      <w:sz w:val="24"/>
      <w:szCs w:val="24"/>
    </w:rPr>
  </w:style>
  <w:style w:type="character" w:customStyle="1" w:styleId="Outline1Char">
    <w:name w:val="Outline 1 Char"/>
    <w:basedOn w:val="Heading4Char"/>
    <w:link w:val="Outline1"/>
    <w:rsid w:val="00CD7797"/>
    <w:rPr>
      <w:rFonts w:asciiTheme="minorHAnsi" w:hAnsiTheme="minorHAnsi"/>
      <w:b/>
      <w:sz w:val="24"/>
      <w:szCs w:val="24"/>
    </w:rPr>
  </w:style>
  <w:style w:type="paragraph" w:customStyle="1" w:styleId="Outline3">
    <w:name w:val="Outline 3"/>
    <w:basedOn w:val="Heading4"/>
    <w:link w:val="Outline3Char"/>
    <w:qFormat/>
    <w:rsid w:val="00006558"/>
    <w:pPr>
      <w:numPr>
        <w:numId w:val="0"/>
      </w:numPr>
    </w:pPr>
    <w:rPr>
      <w:rFonts w:asciiTheme="minorHAnsi" w:hAnsiTheme="minorHAnsi"/>
      <w:b w:val="0"/>
    </w:rPr>
  </w:style>
  <w:style w:type="character" w:customStyle="1" w:styleId="ListParagraphChar">
    <w:name w:val="List Paragraph Char"/>
    <w:basedOn w:val="DefaultParagraphFont"/>
    <w:link w:val="ListParagraph"/>
    <w:uiPriority w:val="34"/>
    <w:rsid w:val="00AC5896"/>
    <w:rPr>
      <w:sz w:val="24"/>
      <w:szCs w:val="24"/>
    </w:rPr>
  </w:style>
  <w:style w:type="character" w:customStyle="1" w:styleId="Outline2Char">
    <w:name w:val="Outline 2 Char"/>
    <w:basedOn w:val="ListParagraphChar"/>
    <w:link w:val="Outline2"/>
    <w:rsid w:val="002D2764"/>
    <w:rPr>
      <w:rFonts w:asciiTheme="minorHAnsi" w:hAnsiTheme="minorHAnsi"/>
      <w:sz w:val="24"/>
      <w:szCs w:val="24"/>
    </w:rPr>
  </w:style>
  <w:style w:type="paragraph" w:customStyle="1" w:styleId="Outline5">
    <w:name w:val="Outline 5"/>
    <w:basedOn w:val="Heading4"/>
    <w:link w:val="Outline5Char"/>
    <w:qFormat/>
    <w:rsid w:val="00AC5896"/>
    <w:pPr>
      <w:numPr>
        <w:numId w:val="0"/>
      </w:numPr>
      <w:ind w:left="1728" w:hanging="648"/>
    </w:pPr>
    <w:rPr>
      <w:rFonts w:asciiTheme="minorHAnsi" w:hAnsiTheme="minorHAnsi"/>
      <w:b w:val="0"/>
    </w:rPr>
  </w:style>
  <w:style w:type="character" w:customStyle="1" w:styleId="Outline3Char">
    <w:name w:val="Outline 3 Char"/>
    <w:basedOn w:val="Heading4Char"/>
    <w:link w:val="Outline3"/>
    <w:rsid w:val="00006558"/>
    <w:rPr>
      <w:rFonts w:asciiTheme="minorHAnsi" w:hAnsiTheme="minorHAnsi"/>
      <w:b w:val="0"/>
      <w:sz w:val="24"/>
      <w:szCs w:val="24"/>
    </w:rPr>
  </w:style>
  <w:style w:type="paragraph" w:customStyle="1" w:styleId="Outline4">
    <w:name w:val="Outline 4"/>
    <w:basedOn w:val="ListParagraph"/>
    <w:link w:val="Outline4Char"/>
    <w:qFormat/>
    <w:rsid w:val="00006558"/>
    <w:pPr>
      <w:numPr>
        <w:numId w:val="12"/>
      </w:numPr>
      <w:spacing w:before="120" w:after="120"/>
      <w:contextualSpacing w:val="0"/>
    </w:pPr>
    <w:rPr>
      <w:rFonts w:asciiTheme="minorHAnsi" w:hAnsiTheme="minorHAnsi"/>
    </w:rPr>
  </w:style>
  <w:style w:type="character" w:customStyle="1" w:styleId="Outline5Char">
    <w:name w:val="Outline 5 Char"/>
    <w:basedOn w:val="Heading4Char"/>
    <w:link w:val="Outline5"/>
    <w:rsid w:val="00AC5896"/>
    <w:rPr>
      <w:rFonts w:asciiTheme="minorHAnsi" w:hAnsiTheme="minorHAnsi"/>
      <w:b/>
      <w:sz w:val="24"/>
      <w:szCs w:val="24"/>
    </w:rPr>
  </w:style>
  <w:style w:type="character" w:customStyle="1" w:styleId="Outline4Char">
    <w:name w:val="Outline 4 Char"/>
    <w:basedOn w:val="ListParagraphChar"/>
    <w:link w:val="Outline4"/>
    <w:rsid w:val="00006558"/>
    <w:rPr>
      <w:rFonts w:asciiTheme="minorHAnsi" w:hAnsiTheme="minorHAnsi"/>
      <w:sz w:val="24"/>
      <w:szCs w:val="24"/>
    </w:rPr>
  </w:style>
  <w:style w:type="paragraph" w:styleId="Revision">
    <w:name w:val="Revision"/>
    <w:hidden/>
    <w:uiPriority w:val="99"/>
    <w:semiHidden/>
    <w:rsid w:val="002B0E19"/>
    <w:rPr>
      <w:rFonts w:ascii="Arial" w:hAnsi="Arial"/>
      <w:sz w:val="24"/>
      <w:szCs w:val="24"/>
    </w:rPr>
  </w:style>
  <w:style w:type="character" w:customStyle="1" w:styleId="PlainTextChar">
    <w:name w:val="Plain Text Char"/>
    <w:basedOn w:val="DefaultParagraphFont"/>
    <w:link w:val="PlainText"/>
    <w:uiPriority w:val="99"/>
    <w:rsid w:val="004D685B"/>
    <w:rPr>
      <w:rFonts w:ascii="Courier New" w:hAnsi="Courier New" w:cs="Courier New"/>
    </w:rPr>
  </w:style>
  <w:style w:type="paragraph" w:styleId="NormalWeb">
    <w:name w:val="Normal (Web)"/>
    <w:basedOn w:val="Normal"/>
    <w:uiPriority w:val="99"/>
    <w:unhideWhenUsed/>
    <w:rsid w:val="005A6D31"/>
    <w:pPr>
      <w:spacing w:before="100" w:beforeAutospacing="1" w:after="100" w:afterAutospacing="1"/>
    </w:pPr>
    <w:rPr>
      <w:rFonts w:ascii="Times New Roman" w:hAnsi="Times New Roman"/>
    </w:rPr>
  </w:style>
  <w:style w:type="paragraph" w:customStyle="1" w:styleId="outline20">
    <w:name w:val="outline2"/>
    <w:basedOn w:val="Normal"/>
    <w:rsid w:val="006A4BB0"/>
    <w:pPr>
      <w:ind w:left="1152" w:hanging="432"/>
    </w:pPr>
    <w:rPr>
      <w:rFonts w:ascii="Calibri" w:eastAsiaTheme="minorHAnsi" w:hAnsi="Calibri" w:cs="Calibri"/>
    </w:rPr>
  </w:style>
  <w:style w:type="paragraph" w:customStyle="1" w:styleId="outline30">
    <w:name w:val="outline3"/>
    <w:basedOn w:val="Normal"/>
    <w:rsid w:val="006A4BB0"/>
    <w:pPr>
      <w:ind w:left="1512" w:hanging="360"/>
    </w:pPr>
    <w:rPr>
      <w:rFonts w:ascii="Calibri" w:eastAsiaTheme="minorHAnsi" w:hAnsi="Calibri" w:cs="Calibri"/>
      <w:color w:val="4F81BD"/>
    </w:rPr>
  </w:style>
  <w:style w:type="paragraph" w:customStyle="1" w:styleId="OutlineParagraph">
    <w:name w:val="Outline Paragraph"/>
    <w:basedOn w:val="Normal"/>
    <w:link w:val="OutlineParagraphChar"/>
    <w:qFormat/>
    <w:rsid w:val="001210AB"/>
    <w:pPr>
      <w:ind w:left="360"/>
    </w:pPr>
    <w:rPr>
      <w:rFonts w:asciiTheme="minorHAnsi" w:hAnsiTheme="minorHAnsi" w:cstheme="minorHAnsi"/>
    </w:rPr>
  </w:style>
  <w:style w:type="paragraph" w:styleId="TOC2">
    <w:name w:val="toc 2"/>
    <w:basedOn w:val="Normal"/>
    <w:next w:val="Normal"/>
    <w:autoRedefine/>
    <w:uiPriority w:val="39"/>
    <w:rsid w:val="004C2F0F"/>
    <w:pPr>
      <w:spacing w:after="100"/>
      <w:ind w:left="240"/>
    </w:pPr>
  </w:style>
  <w:style w:type="character" w:customStyle="1" w:styleId="OutlineParagraphChar">
    <w:name w:val="Outline Paragraph Char"/>
    <w:basedOn w:val="DefaultParagraphFont"/>
    <w:link w:val="OutlineParagraph"/>
    <w:rsid w:val="001210AB"/>
    <w:rPr>
      <w:rFonts w:asciiTheme="minorHAnsi" w:hAnsiTheme="minorHAnsi" w:cstheme="minorHAnsi"/>
      <w:sz w:val="24"/>
      <w:szCs w:val="24"/>
    </w:rPr>
  </w:style>
  <w:style w:type="paragraph" w:customStyle="1" w:styleId="ReadinessOutlineI">
    <w:name w:val="Readiness Outline I"/>
    <w:basedOn w:val="Outline1"/>
    <w:link w:val="ReadinessOutlineIChar"/>
    <w:qFormat/>
    <w:rsid w:val="009722A9"/>
  </w:style>
  <w:style w:type="paragraph" w:customStyle="1" w:styleId="ReadinessBullett1">
    <w:name w:val="Readiness Bullett 1"/>
    <w:basedOn w:val="OutlineParagraph"/>
    <w:link w:val="ReadinessBullett1Char"/>
    <w:qFormat/>
    <w:rsid w:val="009722A9"/>
    <w:pPr>
      <w:numPr>
        <w:numId w:val="13"/>
      </w:numPr>
      <w:ind w:left="720"/>
    </w:pPr>
  </w:style>
  <w:style w:type="character" w:customStyle="1" w:styleId="ReadinessOutlineIChar">
    <w:name w:val="Readiness Outline I Char"/>
    <w:basedOn w:val="Outline1Char"/>
    <w:link w:val="ReadinessOutlineI"/>
    <w:rsid w:val="009722A9"/>
    <w:rPr>
      <w:rFonts w:asciiTheme="minorHAnsi" w:hAnsiTheme="minorHAnsi"/>
      <w:b/>
      <w:sz w:val="24"/>
      <w:szCs w:val="24"/>
    </w:rPr>
  </w:style>
  <w:style w:type="paragraph" w:customStyle="1" w:styleId="ReadinessBullett2">
    <w:name w:val="Readiness Bullett 2"/>
    <w:basedOn w:val="OutlineParagraph"/>
    <w:link w:val="ReadinessBullett2Char"/>
    <w:autoRedefine/>
    <w:qFormat/>
    <w:rsid w:val="004473D0"/>
    <w:pPr>
      <w:numPr>
        <w:ilvl w:val="1"/>
        <w:numId w:val="16"/>
      </w:numPr>
    </w:pPr>
  </w:style>
  <w:style w:type="character" w:customStyle="1" w:styleId="ReadinessBullett1Char">
    <w:name w:val="Readiness Bullett 1 Char"/>
    <w:basedOn w:val="OutlineParagraphChar"/>
    <w:link w:val="ReadinessBullett1"/>
    <w:rsid w:val="009722A9"/>
    <w:rPr>
      <w:rFonts w:asciiTheme="minorHAnsi" w:hAnsiTheme="minorHAnsi" w:cstheme="minorHAnsi"/>
      <w:sz w:val="24"/>
      <w:szCs w:val="24"/>
    </w:rPr>
  </w:style>
  <w:style w:type="character" w:customStyle="1" w:styleId="ReadinessBullett2Char">
    <w:name w:val="Readiness Bullett 2 Char"/>
    <w:basedOn w:val="OutlineParagraphChar"/>
    <w:link w:val="ReadinessBullett2"/>
    <w:rsid w:val="004473D0"/>
    <w:rPr>
      <w:rFonts w:asciiTheme="minorHAnsi" w:hAnsiTheme="minorHAnsi"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76863">
      <w:bodyDiv w:val="1"/>
      <w:marLeft w:val="0"/>
      <w:marRight w:val="0"/>
      <w:marTop w:val="0"/>
      <w:marBottom w:val="0"/>
      <w:divBdr>
        <w:top w:val="none" w:sz="0" w:space="0" w:color="auto"/>
        <w:left w:val="none" w:sz="0" w:space="0" w:color="auto"/>
        <w:bottom w:val="none" w:sz="0" w:space="0" w:color="auto"/>
        <w:right w:val="none" w:sz="0" w:space="0" w:color="auto"/>
      </w:divBdr>
    </w:div>
    <w:div w:id="367687964">
      <w:bodyDiv w:val="1"/>
      <w:marLeft w:val="0"/>
      <w:marRight w:val="0"/>
      <w:marTop w:val="0"/>
      <w:marBottom w:val="0"/>
      <w:divBdr>
        <w:top w:val="none" w:sz="0" w:space="0" w:color="auto"/>
        <w:left w:val="none" w:sz="0" w:space="0" w:color="auto"/>
        <w:bottom w:val="none" w:sz="0" w:space="0" w:color="auto"/>
        <w:right w:val="none" w:sz="0" w:space="0" w:color="auto"/>
      </w:divBdr>
    </w:div>
    <w:div w:id="370421372">
      <w:bodyDiv w:val="1"/>
      <w:marLeft w:val="0"/>
      <w:marRight w:val="0"/>
      <w:marTop w:val="0"/>
      <w:marBottom w:val="0"/>
      <w:divBdr>
        <w:top w:val="none" w:sz="0" w:space="0" w:color="auto"/>
        <w:left w:val="none" w:sz="0" w:space="0" w:color="auto"/>
        <w:bottom w:val="none" w:sz="0" w:space="0" w:color="auto"/>
        <w:right w:val="none" w:sz="0" w:space="0" w:color="auto"/>
      </w:divBdr>
    </w:div>
    <w:div w:id="421297563">
      <w:bodyDiv w:val="1"/>
      <w:marLeft w:val="0"/>
      <w:marRight w:val="0"/>
      <w:marTop w:val="0"/>
      <w:marBottom w:val="0"/>
      <w:divBdr>
        <w:top w:val="none" w:sz="0" w:space="0" w:color="auto"/>
        <w:left w:val="none" w:sz="0" w:space="0" w:color="auto"/>
        <w:bottom w:val="none" w:sz="0" w:space="0" w:color="auto"/>
        <w:right w:val="none" w:sz="0" w:space="0" w:color="auto"/>
      </w:divBdr>
      <w:divsChild>
        <w:div w:id="29380057">
          <w:marLeft w:val="0"/>
          <w:marRight w:val="0"/>
          <w:marTop w:val="0"/>
          <w:marBottom w:val="0"/>
          <w:divBdr>
            <w:top w:val="none" w:sz="0" w:space="0" w:color="auto"/>
            <w:left w:val="none" w:sz="0" w:space="0" w:color="auto"/>
            <w:bottom w:val="none" w:sz="0" w:space="0" w:color="auto"/>
            <w:right w:val="none" w:sz="0" w:space="0" w:color="auto"/>
          </w:divBdr>
          <w:divsChild>
            <w:div w:id="1375424834">
              <w:marLeft w:val="0"/>
              <w:marRight w:val="0"/>
              <w:marTop w:val="0"/>
              <w:marBottom w:val="0"/>
              <w:divBdr>
                <w:top w:val="none" w:sz="0" w:space="0" w:color="auto"/>
                <w:left w:val="none" w:sz="0" w:space="0" w:color="auto"/>
                <w:bottom w:val="none" w:sz="0" w:space="0" w:color="auto"/>
                <w:right w:val="none" w:sz="0" w:space="0" w:color="auto"/>
              </w:divBdr>
              <w:divsChild>
                <w:div w:id="1436289447">
                  <w:marLeft w:val="0"/>
                  <w:marRight w:val="0"/>
                  <w:marTop w:val="0"/>
                  <w:marBottom w:val="0"/>
                  <w:divBdr>
                    <w:top w:val="none" w:sz="0" w:space="0" w:color="auto"/>
                    <w:left w:val="none" w:sz="0" w:space="0" w:color="auto"/>
                    <w:bottom w:val="none" w:sz="0" w:space="0" w:color="auto"/>
                    <w:right w:val="none" w:sz="0" w:space="0" w:color="auto"/>
                  </w:divBdr>
                  <w:divsChild>
                    <w:div w:id="1582640220">
                      <w:marLeft w:val="0"/>
                      <w:marRight w:val="0"/>
                      <w:marTop w:val="0"/>
                      <w:marBottom w:val="0"/>
                      <w:divBdr>
                        <w:top w:val="none" w:sz="0" w:space="0" w:color="auto"/>
                        <w:left w:val="none" w:sz="0" w:space="0" w:color="auto"/>
                        <w:bottom w:val="none" w:sz="0" w:space="0" w:color="auto"/>
                        <w:right w:val="none" w:sz="0" w:space="0" w:color="auto"/>
                      </w:divBdr>
                      <w:divsChild>
                        <w:div w:id="1692413107">
                          <w:marLeft w:val="0"/>
                          <w:marRight w:val="0"/>
                          <w:marTop w:val="0"/>
                          <w:marBottom w:val="0"/>
                          <w:divBdr>
                            <w:top w:val="none" w:sz="0" w:space="0" w:color="auto"/>
                            <w:left w:val="none" w:sz="0" w:space="0" w:color="auto"/>
                            <w:bottom w:val="none" w:sz="0" w:space="0" w:color="auto"/>
                            <w:right w:val="none" w:sz="0" w:space="0" w:color="auto"/>
                          </w:divBdr>
                          <w:divsChild>
                            <w:div w:id="424376931">
                              <w:marLeft w:val="0"/>
                              <w:marRight w:val="375"/>
                              <w:marTop w:val="0"/>
                              <w:marBottom w:val="0"/>
                              <w:divBdr>
                                <w:top w:val="single" w:sz="36" w:space="0" w:color="0B5B9D"/>
                                <w:left w:val="none" w:sz="0" w:space="0" w:color="auto"/>
                                <w:bottom w:val="none" w:sz="0" w:space="0" w:color="auto"/>
                                <w:right w:val="none" w:sz="0" w:space="0" w:color="auto"/>
                              </w:divBdr>
                              <w:divsChild>
                                <w:div w:id="1214271204">
                                  <w:marLeft w:val="0"/>
                                  <w:marRight w:val="0"/>
                                  <w:marTop w:val="0"/>
                                  <w:marBottom w:val="0"/>
                                  <w:divBdr>
                                    <w:top w:val="none" w:sz="0" w:space="0" w:color="auto"/>
                                    <w:left w:val="none" w:sz="0" w:space="0" w:color="auto"/>
                                    <w:bottom w:val="none" w:sz="0" w:space="0" w:color="auto"/>
                                    <w:right w:val="none" w:sz="0" w:space="0" w:color="auto"/>
                                  </w:divBdr>
                                  <w:divsChild>
                                    <w:div w:id="1854300405">
                                      <w:marLeft w:val="0"/>
                                      <w:marRight w:val="0"/>
                                      <w:marTop w:val="0"/>
                                      <w:marBottom w:val="0"/>
                                      <w:divBdr>
                                        <w:top w:val="none" w:sz="0" w:space="0" w:color="auto"/>
                                        <w:left w:val="none" w:sz="0" w:space="0" w:color="auto"/>
                                        <w:bottom w:val="none" w:sz="0" w:space="0" w:color="auto"/>
                                        <w:right w:val="none" w:sz="0" w:space="0" w:color="auto"/>
                                      </w:divBdr>
                                      <w:divsChild>
                                        <w:div w:id="160179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4565577">
      <w:bodyDiv w:val="1"/>
      <w:marLeft w:val="0"/>
      <w:marRight w:val="0"/>
      <w:marTop w:val="0"/>
      <w:marBottom w:val="0"/>
      <w:divBdr>
        <w:top w:val="none" w:sz="0" w:space="0" w:color="auto"/>
        <w:left w:val="none" w:sz="0" w:space="0" w:color="auto"/>
        <w:bottom w:val="none" w:sz="0" w:space="0" w:color="auto"/>
        <w:right w:val="none" w:sz="0" w:space="0" w:color="auto"/>
      </w:divBdr>
    </w:div>
    <w:div w:id="468212581">
      <w:bodyDiv w:val="1"/>
      <w:marLeft w:val="0"/>
      <w:marRight w:val="0"/>
      <w:marTop w:val="0"/>
      <w:marBottom w:val="0"/>
      <w:divBdr>
        <w:top w:val="none" w:sz="0" w:space="0" w:color="auto"/>
        <w:left w:val="none" w:sz="0" w:space="0" w:color="auto"/>
        <w:bottom w:val="none" w:sz="0" w:space="0" w:color="auto"/>
        <w:right w:val="none" w:sz="0" w:space="0" w:color="auto"/>
      </w:divBdr>
    </w:div>
    <w:div w:id="480924778">
      <w:bodyDiv w:val="1"/>
      <w:marLeft w:val="0"/>
      <w:marRight w:val="0"/>
      <w:marTop w:val="0"/>
      <w:marBottom w:val="0"/>
      <w:divBdr>
        <w:top w:val="none" w:sz="0" w:space="0" w:color="auto"/>
        <w:left w:val="none" w:sz="0" w:space="0" w:color="auto"/>
        <w:bottom w:val="none" w:sz="0" w:space="0" w:color="auto"/>
        <w:right w:val="none" w:sz="0" w:space="0" w:color="auto"/>
      </w:divBdr>
    </w:div>
    <w:div w:id="521094683">
      <w:bodyDiv w:val="1"/>
      <w:marLeft w:val="0"/>
      <w:marRight w:val="0"/>
      <w:marTop w:val="0"/>
      <w:marBottom w:val="0"/>
      <w:divBdr>
        <w:top w:val="none" w:sz="0" w:space="0" w:color="auto"/>
        <w:left w:val="none" w:sz="0" w:space="0" w:color="auto"/>
        <w:bottom w:val="none" w:sz="0" w:space="0" w:color="auto"/>
        <w:right w:val="none" w:sz="0" w:space="0" w:color="auto"/>
      </w:divBdr>
    </w:div>
    <w:div w:id="601184789">
      <w:bodyDiv w:val="1"/>
      <w:marLeft w:val="0"/>
      <w:marRight w:val="0"/>
      <w:marTop w:val="0"/>
      <w:marBottom w:val="0"/>
      <w:divBdr>
        <w:top w:val="none" w:sz="0" w:space="0" w:color="auto"/>
        <w:left w:val="none" w:sz="0" w:space="0" w:color="auto"/>
        <w:bottom w:val="none" w:sz="0" w:space="0" w:color="auto"/>
        <w:right w:val="none" w:sz="0" w:space="0" w:color="auto"/>
      </w:divBdr>
    </w:div>
    <w:div w:id="723255944">
      <w:bodyDiv w:val="1"/>
      <w:marLeft w:val="0"/>
      <w:marRight w:val="0"/>
      <w:marTop w:val="0"/>
      <w:marBottom w:val="0"/>
      <w:divBdr>
        <w:top w:val="none" w:sz="0" w:space="0" w:color="auto"/>
        <w:left w:val="none" w:sz="0" w:space="0" w:color="auto"/>
        <w:bottom w:val="none" w:sz="0" w:space="0" w:color="auto"/>
        <w:right w:val="none" w:sz="0" w:space="0" w:color="auto"/>
      </w:divBdr>
    </w:div>
    <w:div w:id="753480282">
      <w:bodyDiv w:val="1"/>
      <w:marLeft w:val="0"/>
      <w:marRight w:val="0"/>
      <w:marTop w:val="0"/>
      <w:marBottom w:val="0"/>
      <w:divBdr>
        <w:top w:val="none" w:sz="0" w:space="0" w:color="auto"/>
        <w:left w:val="none" w:sz="0" w:space="0" w:color="auto"/>
        <w:bottom w:val="none" w:sz="0" w:space="0" w:color="auto"/>
        <w:right w:val="none" w:sz="0" w:space="0" w:color="auto"/>
      </w:divBdr>
    </w:div>
    <w:div w:id="968785566">
      <w:bodyDiv w:val="1"/>
      <w:marLeft w:val="0"/>
      <w:marRight w:val="0"/>
      <w:marTop w:val="0"/>
      <w:marBottom w:val="0"/>
      <w:divBdr>
        <w:top w:val="none" w:sz="0" w:space="0" w:color="auto"/>
        <w:left w:val="none" w:sz="0" w:space="0" w:color="auto"/>
        <w:bottom w:val="none" w:sz="0" w:space="0" w:color="auto"/>
        <w:right w:val="none" w:sz="0" w:space="0" w:color="auto"/>
      </w:divBdr>
    </w:div>
    <w:div w:id="988482974">
      <w:bodyDiv w:val="1"/>
      <w:marLeft w:val="0"/>
      <w:marRight w:val="0"/>
      <w:marTop w:val="0"/>
      <w:marBottom w:val="0"/>
      <w:divBdr>
        <w:top w:val="none" w:sz="0" w:space="0" w:color="auto"/>
        <w:left w:val="none" w:sz="0" w:space="0" w:color="auto"/>
        <w:bottom w:val="none" w:sz="0" w:space="0" w:color="auto"/>
        <w:right w:val="none" w:sz="0" w:space="0" w:color="auto"/>
      </w:divBdr>
    </w:div>
    <w:div w:id="1080559808">
      <w:bodyDiv w:val="1"/>
      <w:marLeft w:val="0"/>
      <w:marRight w:val="0"/>
      <w:marTop w:val="0"/>
      <w:marBottom w:val="0"/>
      <w:divBdr>
        <w:top w:val="none" w:sz="0" w:space="0" w:color="auto"/>
        <w:left w:val="none" w:sz="0" w:space="0" w:color="auto"/>
        <w:bottom w:val="none" w:sz="0" w:space="0" w:color="auto"/>
        <w:right w:val="none" w:sz="0" w:space="0" w:color="auto"/>
      </w:divBdr>
    </w:div>
    <w:div w:id="1111819810">
      <w:bodyDiv w:val="1"/>
      <w:marLeft w:val="0"/>
      <w:marRight w:val="0"/>
      <w:marTop w:val="0"/>
      <w:marBottom w:val="0"/>
      <w:divBdr>
        <w:top w:val="none" w:sz="0" w:space="0" w:color="auto"/>
        <w:left w:val="none" w:sz="0" w:space="0" w:color="auto"/>
        <w:bottom w:val="none" w:sz="0" w:space="0" w:color="auto"/>
        <w:right w:val="none" w:sz="0" w:space="0" w:color="auto"/>
      </w:divBdr>
    </w:div>
    <w:div w:id="1246962151">
      <w:bodyDiv w:val="1"/>
      <w:marLeft w:val="0"/>
      <w:marRight w:val="0"/>
      <w:marTop w:val="0"/>
      <w:marBottom w:val="0"/>
      <w:divBdr>
        <w:top w:val="none" w:sz="0" w:space="0" w:color="auto"/>
        <w:left w:val="none" w:sz="0" w:space="0" w:color="auto"/>
        <w:bottom w:val="none" w:sz="0" w:space="0" w:color="auto"/>
        <w:right w:val="none" w:sz="0" w:space="0" w:color="auto"/>
      </w:divBdr>
    </w:div>
    <w:div w:id="1268195159">
      <w:bodyDiv w:val="1"/>
      <w:marLeft w:val="0"/>
      <w:marRight w:val="0"/>
      <w:marTop w:val="0"/>
      <w:marBottom w:val="0"/>
      <w:divBdr>
        <w:top w:val="none" w:sz="0" w:space="0" w:color="auto"/>
        <w:left w:val="none" w:sz="0" w:space="0" w:color="auto"/>
        <w:bottom w:val="none" w:sz="0" w:space="0" w:color="auto"/>
        <w:right w:val="none" w:sz="0" w:space="0" w:color="auto"/>
      </w:divBdr>
    </w:div>
    <w:div w:id="1279332344">
      <w:bodyDiv w:val="1"/>
      <w:marLeft w:val="0"/>
      <w:marRight w:val="0"/>
      <w:marTop w:val="0"/>
      <w:marBottom w:val="0"/>
      <w:divBdr>
        <w:top w:val="none" w:sz="0" w:space="0" w:color="auto"/>
        <w:left w:val="none" w:sz="0" w:space="0" w:color="auto"/>
        <w:bottom w:val="none" w:sz="0" w:space="0" w:color="auto"/>
        <w:right w:val="none" w:sz="0" w:space="0" w:color="auto"/>
      </w:divBdr>
    </w:div>
    <w:div w:id="1285234088">
      <w:bodyDiv w:val="1"/>
      <w:marLeft w:val="0"/>
      <w:marRight w:val="0"/>
      <w:marTop w:val="0"/>
      <w:marBottom w:val="0"/>
      <w:divBdr>
        <w:top w:val="none" w:sz="0" w:space="0" w:color="auto"/>
        <w:left w:val="none" w:sz="0" w:space="0" w:color="auto"/>
        <w:bottom w:val="none" w:sz="0" w:space="0" w:color="auto"/>
        <w:right w:val="none" w:sz="0" w:space="0" w:color="auto"/>
      </w:divBdr>
    </w:div>
    <w:div w:id="1438789405">
      <w:bodyDiv w:val="1"/>
      <w:marLeft w:val="0"/>
      <w:marRight w:val="0"/>
      <w:marTop w:val="0"/>
      <w:marBottom w:val="0"/>
      <w:divBdr>
        <w:top w:val="none" w:sz="0" w:space="0" w:color="auto"/>
        <w:left w:val="none" w:sz="0" w:space="0" w:color="auto"/>
        <w:bottom w:val="none" w:sz="0" w:space="0" w:color="auto"/>
        <w:right w:val="none" w:sz="0" w:space="0" w:color="auto"/>
      </w:divBdr>
    </w:div>
    <w:div w:id="1508984106">
      <w:bodyDiv w:val="1"/>
      <w:marLeft w:val="0"/>
      <w:marRight w:val="0"/>
      <w:marTop w:val="0"/>
      <w:marBottom w:val="0"/>
      <w:divBdr>
        <w:top w:val="none" w:sz="0" w:space="0" w:color="auto"/>
        <w:left w:val="none" w:sz="0" w:space="0" w:color="auto"/>
        <w:bottom w:val="none" w:sz="0" w:space="0" w:color="auto"/>
        <w:right w:val="none" w:sz="0" w:space="0" w:color="auto"/>
      </w:divBdr>
    </w:div>
    <w:div w:id="1581715250">
      <w:bodyDiv w:val="1"/>
      <w:marLeft w:val="0"/>
      <w:marRight w:val="0"/>
      <w:marTop w:val="0"/>
      <w:marBottom w:val="0"/>
      <w:divBdr>
        <w:top w:val="none" w:sz="0" w:space="0" w:color="auto"/>
        <w:left w:val="none" w:sz="0" w:space="0" w:color="auto"/>
        <w:bottom w:val="none" w:sz="0" w:space="0" w:color="auto"/>
        <w:right w:val="none" w:sz="0" w:space="0" w:color="auto"/>
      </w:divBdr>
    </w:div>
    <w:div w:id="1596985347">
      <w:bodyDiv w:val="1"/>
      <w:marLeft w:val="0"/>
      <w:marRight w:val="0"/>
      <w:marTop w:val="0"/>
      <w:marBottom w:val="0"/>
      <w:divBdr>
        <w:top w:val="none" w:sz="0" w:space="0" w:color="auto"/>
        <w:left w:val="none" w:sz="0" w:space="0" w:color="auto"/>
        <w:bottom w:val="none" w:sz="0" w:space="0" w:color="auto"/>
        <w:right w:val="none" w:sz="0" w:space="0" w:color="auto"/>
      </w:divBdr>
    </w:div>
    <w:div w:id="1729109737">
      <w:bodyDiv w:val="1"/>
      <w:marLeft w:val="0"/>
      <w:marRight w:val="0"/>
      <w:marTop w:val="0"/>
      <w:marBottom w:val="0"/>
      <w:divBdr>
        <w:top w:val="none" w:sz="0" w:space="0" w:color="auto"/>
        <w:left w:val="none" w:sz="0" w:space="0" w:color="auto"/>
        <w:bottom w:val="none" w:sz="0" w:space="0" w:color="auto"/>
        <w:right w:val="none" w:sz="0" w:space="0" w:color="auto"/>
      </w:divBdr>
    </w:div>
    <w:div w:id="1796176435">
      <w:bodyDiv w:val="1"/>
      <w:marLeft w:val="0"/>
      <w:marRight w:val="0"/>
      <w:marTop w:val="0"/>
      <w:marBottom w:val="0"/>
      <w:divBdr>
        <w:top w:val="none" w:sz="0" w:space="0" w:color="auto"/>
        <w:left w:val="none" w:sz="0" w:space="0" w:color="auto"/>
        <w:bottom w:val="none" w:sz="0" w:space="0" w:color="auto"/>
        <w:right w:val="none" w:sz="0" w:space="0" w:color="auto"/>
      </w:divBdr>
    </w:div>
    <w:div w:id="1831944804">
      <w:bodyDiv w:val="1"/>
      <w:marLeft w:val="0"/>
      <w:marRight w:val="0"/>
      <w:marTop w:val="0"/>
      <w:marBottom w:val="0"/>
      <w:divBdr>
        <w:top w:val="none" w:sz="0" w:space="0" w:color="auto"/>
        <w:left w:val="none" w:sz="0" w:space="0" w:color="auto"/>
        <w:bottom w:val="none" w:sz="0" w:space="0" w:color="auto"/>
        <w:right w:val="none" w:sz="0" w:space="0" w:color="auto"/>
      </w:divBdr>
    </w:div>
    <w:div w:id="1841459792">
      <w:bodyDiv w:val="1"/>
      <w:marLeft w:val="0"/>
      <w:marRight w:val="0"/>
      <w:marTop w:val="0"/>
      <w:marBottom w:val="0"/>
      <w:divBdr>
        <w:top w:val="none" w:sz="0" w:space="0" w:color="auto"/>
        <w:left w:val="none" w:sz="0" w:space="0" w:color="auto"/>
        <w:bottom w:val="none" w:sz="0" w:space="0" w:color="auto"/>
        <w:right w:val="none" w:sz="0" w:space="0" w:color="auto"/>
      </w:divBdr>
      <w:divsChild>
        <w:div w:id="1477721021">
          <w:marLeft w:val="547"/>
          <w:marRight w:val="0"/>
          <w:marTop w:val="86"/>
          <w:marBottom w:val="0"/>
          <w:divBdr>
            <w:top w:val="none" w:sz="0" w:space="0" w:color="auto"/>
            <w:left w:val="none" w:sz="0" w:space="0" w:color="auto"/>
            <w:bottom w:val="none" w:sz="0" w:space="0" w:color="auto"/>
            <w:right w:val="none" w:sz="0" w:space="0" w:color="auto"/>
          </w:divBdr>
        </w:div>
      </w:divsChild>
    </w:div>
    <w:div w:id="1904294314">
      <w:bodyDiv w:val="1"/>
      <w:marLeft w:val="0"/>
      <w:marRight w:val="0"/>
      <w:marTop w:val="0"/>
      <w:marBottom w:val="0"/>
      <w:divBdr>
        <w:top w:val="none" w:sz="0" w:space="0" w:color="auto"/>
        <w:left w:val="none" w:sz="0" w:space="0" w:color="auto"/>
        <w:bottom w:val="none" w:sz="0" w:space="0" w:color="auto"/>
        <w:right w:val="none" w:sz="0" w:space="0" w:color="auto"/>
      </w:divBdr>
    </w:div>
    <w:div w:id="207646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hpms_access@cms.hhs.gov" TargetMode="External"/><Relationship Id="rId18" Type="http://schemas.openxmlformats.org/officeDocument/2006/relationships/hyperlink" Target="http://www.cms.gov/hos"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cms.gov/Medicare/Prescription-Drug-Coverage/PrescriptionDrugCovContra/RxUtilization.html"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cms.gov/Research-Statistics-Data-and-Systems/CMS-Information-Technology/InformationSecurity/Information-Security-Library.html" TargetMode="External"/><Relationship Id="rId25" Type="http://schemas.openxmlformats.org/officeDocument/2006/relationships/hyperlink" Target="http://go.cms.gov/MLNProducts" TargetMode="External"/><Relationship Id="rId2" Type="http://schemas.openxmlformats.org/officeDocument/2006/relationships/numbering" Target="numbering.xml"/><Relationship Id="rId16" Type="http://schemas.openxmlformats.org/officeDocument/2006/relationships/hyperlink" Target="https://www.mscginc.com/registration/" TargetMode="External"/><Relationship Id="rId20" Type="http://schemas.openxmlformats.org/officeDocument/2006/relationships/hyperlink" Target="http://tpadministrator.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cms.gov/Medicare/Prescription-Drug-Coverage/PrescriptionDrugCovContra/index.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ms.gov/Medicare/Coding/ICD10/.html" TargetMode="External"/><Relationship Id="rId23" Type="http://schemas.openxmlformats.org/officeDocument/2006/relationships/hyperlink" Target="http://www.cms.hhs.gov/MMAHelp" TargetMode="External"/><Relationship Id="rId28"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www.reedassociates.or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ms.gov/Research-Statistics-Data-and-Systems/CMS-Information-Technology/IACS/index.html?redirect=/IACS/" TargetMode="External"/><Relationship Id="rId22" Type="http://schemas.openxmlformats.org/officeDocument/2006/relationships/hyperlink" Target="https://www.cms.gov/Research-Statistics-Data-and-Systems/CMS-Information-Technology/mapdhelpdesk/Plan_Communications_User_Guide.html" TargetMode="External"/><Relationship Id="rId27" Type="http://schemas.openxmlformats.org/officeDocument/2006/relationships/header" Target="header4.xml"/><Relationship Id="rId30"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B9A6F-F6EC-47F3-B2D8-C82D30E5D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7809</Words>
  <Characters>44513</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2010 Application Standard Operating Procedures</vt:lpstr>
    </vt:vector>
  </TitlesOfParts>
  <Company>CMS</Company>
  <LinksUpToDate>false</LinksUpToDate>
  <CharactersWithSpaces>52218</CharactersWithSpaces>
  <SharedDoc>false</SharedDoc>
  <HLinks>
    <vt:vector size="72" baseType="variant">
      <vt:variant>
        <vt:i4>6029437</vt:i4>
      </vt:variant>
      <vt:variant>
        <vt:i4>60</vt:i4>
      </vt:variant>
      <vt:variant>
        <vt:i4>0</vt:i4>
      </vt:variant>
      <vt:variant>
        <vt:i4>5</vt:i4>
      </vt:variant>
      <vt:variant>
        <vt:lpwstr>mailto:linda.anders@cms.hhs.gov</vt:lpwstr>
      </vt:variant>
      <vt:variant>
        <vt:lpwstr/>
      </vt:variant>
      <vt:variant>
        <vt:i4>7798839</vt:i4>
      </vt:variant>
      <vt:variant>
        <vt:i4>57</vt:i4>
      </vt:variant>
      <vt:variant>
        <vt:i4>0</vt:i4>
      </vt:variant>
      <vt:variant>
        <vt:i4>5</vt:i4>
      </vt:variant>
      <vt:variant>
        <vt:lpwstr>http://vovici.com/wsb.dll/s/11dc4g46dc8</vt:lpwstr>
      </vt:variant>
      <vt:variant>
        <vt:lpwstr/>
      </vt:variant>
      <vt:variant>
        <vt:i4>6029437</vt:i4>
      </vt:variant>
      <vt:variant>
        <vt:i4>54</vt:i4>
      </vt:variant>
      <vt:variant>
        <vt:i4>0</vt:i4>
      </vt:variant>
      <vt:variant>
        <vt:i4>5</vt:i4>
      </vt:variant>
      <vt:variant>
        <vt:lpwstr>mailto:linda.anders@cms.hhs.gov</vt:lpwstr>
      </vt:variant>
      <vt:variant>
        <vt:lpwstr/>
      </vt:variant>
      <vt:variant>
        <vt:i4>6029437</vt:i4>
      </vt:variant>
      <vt:variant>
        <vt:i4>51</vt:i4>
      </vt:variant>
      <vt:variant>
        <vt:i4>0</vt:i4>
      </vt:variant>
      <vt:variant>
        <vt:i4>5</vt:i4>
      </vt:variant>
      <vt:variant>
        <vt:lpwstr>mailto:linda.anders@cms.hhs.gov</vt:lpwstr>
      </vt:variant>
      <vt:variant>
        <vt:lpwstr/>
      </vt:variant>
      <vt:variant>
        <vt:i4>1835057</vt:i4>
      </vt:variant>
      <vt:variant>
        <vt:i4>44</vt:i4>
      </vt:variant>
      <vt:variant>
        <vt:i4>0</vt:i4>
      </vt:variant>
      <vt:variant>
        <vt:i4>5</vt:i4>
      </vt:variant>
      <vt:variant>
        <vt:lpwstr/>
      </vt:variant>
      <vt:variant>
        <vt:lpwstr>_Toc263683881</vt:lpwstr>
      </vt:variant>
      <vt:variant>
        <vt:i4>1835057</vt:i4>
      </vt:variant>
      <vt:variant>
        <vt:i4>38</vt:i4>
      </vt:variant>
      <vt:variant>
        <vt:i4>0</vt:i4>
      </vt:variant>
      <vt:variant>
        <vt:i4>5</vt:i4>
      </vt:variant>
      <vt:variant>
        <vt:lpwstr/>
      </vt:variant>
      <vt:variant>
        <vt:lpwstr>_Toc263683880</vt:lpwstr>
      </vt:variant>
      <vt:variant>
        <vt:i4>1245233</vt:i4>
      </vt:variant>
      <vt:variant>
        <vt:i4>32</vt:i4>
      </vt:variant>
      <vt:variant>
        <vt:i4>0</vt:i4>
      </vt:variant>
      <vt:variant>
        <vt:i4>5</vt:i4>
      </vt:variant>
      <vt:variant>
        <vt:lpwstr/>
      </vt:variant>
      <vt:variant>
        <vt:lpwstr>_Toc263683878</vt:lpwstr>
      </vt:variant>
      <vt:variant>
        <vt:i4>1245233</vt:i4>
      </vt:variant>
      <vt:variant>
        <vt:i4>26</vt:i4>
      </vt:variant>
      <vt:variant>
        <vt:i4>0</vt:i4>
      </vt:variant>
      <vt:variant>
        <vt:i4>5</vt:i4>
      </vt:variant>
      <vt:variant>
        <vt:lpwstr/>
      </vt:variant>
      <vt:variant>
        <vt:lpwstr>_Toc263683877</vt:lpwstr>
      </vt:variant>
      <vt:variant>
        <vt:i4>1245233</vt:i4>
      </vt:variant>
      <vt:variant>
        <vt:i4>20</vt:i4>
      </vt:variant>
      <vt:variant>
        <vt:i4>0</vt:i4>
      </vt:variant>
      <vt:variant>
        <vt:i4>5</vt:i4>
      </vt:variant>
      <vt:variant>
        <vt:lpwstr/>
      </vt:variant>
      <vt:variant>
        <vt:lpwstr>_Toc263683876</vt:lpwstr>
      </vt:variant>
      <vt:variant>
        <vt:i4>1245233</vt:i4>
      </vt:variant>
      <vt:variant>
        <vt:i4>14</vt:i4>
      </vt:variant>
      <vt:variant>
        <vt:i4>0</vt:i4>
      </vt:variant>
      <vt:variant>
        <vt:i4>5</vt:i4>
      </vt:variant>
      <vt:variant>
        <vt:lpwstr/>
      </vt:variant>
      <vt:variant>
        <vt:lpwstr>_Toc263683875</vt:lpwstr>
      </vt:variant>
      <vt:variant>
        <vt:i4>1245233</vt:i4>
      </vt:variant>
      <vt:variant>
        <vt:i4>8</vt:i4>
      </vt:variant>
      <vt:variant>
        <vt:i4>0</vt:i4>
      </vt:variant>
      <vt:variant>
        <vt:i4>5</vt:i4>
      </vt:variant>
      <vt:variant>
        <vt:lpwstr/>
      </vt:variant>
      <vt:variant>
        <vt:lpwstr>_Toc263683874</vt:lpwstr>
      </vt:variant>
      <vt:variant>
        <vt:i4>1245233</vt:i4>
      </vt:variant>
      <vt:variant>
        <vt:i4>2</vt:i4>
      </vt:variant>
      <vt:variant>
        <vt:i4>0</vt:i4>
      </vt:variant>
      <vt:variant>
        <vt:i4>5</vt:i4>
      </vt:variant>
      <vt:variant>
        <vt:lpwstr/>
      </vt:variant>
      <vt:variant>
        <vt:lpwstr>_Toc263683873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 Application Standard Operating Procedures</dc:title>
  <dc:creator>Marla Rothouse</dc:creator>
  <cp:lastModifiedBy>Samuel Kelsey</cp:lastModifiedBy>
  <cp:revision>2</cp:revision>
  <cp:lastPrinted>2015-11-09T13:16:00Z</cp:lastPrinted>
  <dcterms:created xsi:type="dcterms:W3CDTF">2015-11-10T13:41:00Z</dcterms:created>
  <dcterms:modified xsi:type="dcterms:W3CDTF">2015-11-10T13:41:00Z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431498638</vt:i4>
  </property>
  <property fmtid="{D5CDD505-2E9C-101B-9397-08002B2CF9AE}" pid="3" name="_AdHocReviewCycleID">
    <vt:i4>-627270505</vt:i4>
  </property>
  <property fmtid="{D5CDD505-2E9C-101B-9397-08002B2CF9AE}" pid="4" name="_NewReviewCycle">
    <vt:lpwstr/>
  </property>
  <property fmtid="{D5CDD505-2E9C-101B-9397-08002B2CF9AE}" pid="5" name="_EmailSubject">
    <vt:lpwstr>HPMS Memo for release this afternoon</vt:lpwstr>
  </property>
  <property fmtid="{D5CDD505-2E9C-101B-9397-08002B2CF9AE}" pid="6" name="_AuthorEmail">
    <vt:lpwstr>Linda.Anders@cms.hhs.gov</vt:lpwstr>
  </property>
  <property fmtid="{D5CDD505-2E9C-101B-9397-08002B2CF9AE}" pid="7" name="_AuthorEmailDisplayName">
    <vt:lpwstr>Anders, Linda (CMS/CM)</vt:lpwstr>
  </property>
  <property fmtid="{D5CDD505-2E9C-101B-9397-08002B2CF9AE}" pid="8" name="_PreviousAdHocReviewCycleID">
    <vt:i4>1992915856</vt:i4>
  </property>
  <property fmtid="{D5CDD505-2E9C-101B-9397-08002B2CF9AE}" pid="9" name="_ReviewingToolsShownOnce">
    <vt:lpwstr/>
  </property>
</Properties>
</file>